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12" w:line="213" w:lineRule="auto"/>
        <w:ind w:left="1437"/>
        <w:rPr>
          <w:rFonts w:ascii="微软雅黑" w:hAnsi="微软雅黑" w:eastAsia="微软雅黑" w:cs="微软雅黑"/>
          <w:sz w:val="35"/>
          <w:szCs w:val="35"/>
        </w:rPr>
      </w:pPr>
      <w:bookmarkStart w:id="0" w:name="_GoBack"/>
      <w:bookmarkEnd w:id="0"/>
      <w:r>
        <w:rPr>
          <w:rFonts w:hint="eastAsia" w:ascii="微软雅黑" w:hAnsi="微软雅黑" w:eastAsia="微软雅黑" w:cs="微软雅黑"/>
          <w:spacing w:val="9"/>
          <w:sz w:val="35"/>
          <w:szCs w:val="35"/>
          <w:lang w:val="en-US" w:eastAsia="zh-CN"/>
        </w:rPr>
        <w:t>济源</w:t>
      </w:r>
      <w:r>
        <w:rPr>
          <w:rFonts w:ascii="微软雅黑" w:hAnsi="微软雅黑" w:eastAsia="微软雅黑" w:cs="微软雅黑"/>
          <w:spacing w:val="9"/>
          <w:sz w:val="35"/>
          <w:szCs w:val="35"/>
        </w:rPr>
        <w:t>市工程建设项目交易主体行为负面清单</w:t>
      </w:r>
    </w:p>
    <w:p/>
    <w:p/>
    <w:p>
      <w:pPr>
        <w:spacing w:line="134" w:lineRule="exact"/>
      </w:pPr>
    </w:p>
    <w:tbl>
      <w:tblPr>
        <w:tblW w:w="950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5422"/>
        <w:gridCol w:w="3209"/>
      </w:tblGrid>
      <w:tr>
        <w:trPr>
          <w:trHeight w:val="859" w:hRule="atLeast"/>
        </w:trPr>
        <w:tc>
          <w:tcPr>
            <w:tcW w:w="871" w:type="dxa"/>
            <w:vAlign w:val="top"/>
          </w:tcPr>
          <w:p>
            <w:pPr>
              <w:spacing w:before="309" w:line="221" w:lineRule="auto"/>
              <w:ind w:left="161"/>
              <w:rPr>
                <w:rFonts w:ascii="宋体" w:hAnsi="宋体" w:eastAsia="宋体" w:cs="宋体"/>
                <w:sz w:val="28"/>
                <w:szCs w:val="28"/>
              </w:rPr>
            </w:pPr>
            <w:r>
              <w:rPr>
                <w:rFonts w:ascii="宋体" w:hAnsi="宋体" w:eastAsia="宋体" w:cs="宋体"/>
                <w:spacing w:val="-5"/>
                <w:sz w:val="28"/>
                <w:szCs w:val="28"/>
              </w:rPr>
              <w:t>序</w:t>
            </w:r>
            <w:r>
              <w:rPr>
                <w:rFonts w:ascii="宋体" w:hAnsi="宋体" w:eastAsia="宋体" w:cs="宋体"/>
                <w:spacing w:val="-4"/>
                <w:sz w:val="28"/>
                <w:szCs w:val="28"/>
              </w:rPr>
              <w:t>号</w:t>
            </w:r>
          </w:p>
        </w:tc>
        <w:tc>
          <w:tcPr>
            <w:tcW w:w="5422" w:type="dxa"/>
            <w:vAlign w:val="top"/>
          </w:tcPr>
          <w:p>
            <w:pPr>
              <w:spacing w:before="308" w:line="220" w:lineRule="auto"/>
              <w:ind w:left="1887"/>
              <w:rPr>
                <w:rFonts w:ascii="宋体" w:hAnsi="宋体" w:eastAsia="宋体" w:cs="宋体"/>
                <w:sz w:val="28"/>
                <w:szCs w:val="28"/>
              </w:rPr>
            </w:pPr>
            <w:r>
              <w:rPr>
                <w:rFonts w:ascii="宋体" w:hAnsi="宋体" w:eastAsia="宋体" w:cs="宋体"/>
                <w:spacing w:val="-4"/>
                <w:sz w:val="28"/>
                <w:szCs w:val="28"/>
              </w:rPr>
              <w:t>负</w:t>
            </w:r>
            <w:r>
              <w:rPr>
                <w:rFonts w:ascii="宋体" w:hAnsi="宋体" w:eastAsia="宋体" w:cs="宋体"/>
                <w:spacing w:val="-3"/>
                <w:sz w:val="28"/>
                <w:szCs w:val="28"/>
              </w:rPr>
              <w:t>面</w:t>
            </w:r>
            <w:r>
              <w:rPr>
                <w:rFonts w:ascii="宋体" w:hAnsi="宋体" w:eastAsia="宋体" w:cs="宋体"/>
                <w:spacing w:val="-2"/>
                <w:sz w:val="28"/>
                <w:szCs w:val="28"/>
              </w:rPr>
              <w:t>行为内容</w:t>
            </w:r>
          </w:p>
        </w:tc>
        <w:tc>
          <w:tcPr>
            <w:tcW w:w="3209" w:type="dxa"/>
            <w:vAlign w:val="top"/>
          </w:tcPr>
          <w:p>
            <w:pPr>
              <w:spacing w:before="309" w:line="219" w:lineRule="auto"/>
              <w:ind w:left="1333"/>
              <w:rPr>
                <w:rFonts w:ascii="宋体" w:hAnsi="宋体" w:eastAsia="宋体" w:cs="宋体"/>
                <w:sz w:val="28"/>
                <w:szCs w:val="28"/>
              </w:rPr>
            </w:pPr>
            <w:r>
              <w:rPr>
                <w:rFonts w:ascii="宋体" w:hAnsi="宋体" w:eastAsia="宋体" w:cs="宋体"/>
                <w:spacing w:val="-7"/>
                <w:sz w:val="28"/>
                <w:szCs w:val="28"/>
              </w:rPr>
              <w:t>依</w:t>
            </w:r>
            <w:r>
              <w:rPr>
                <w:rFonts w:ascii="宋体" w:hAnsi="宋体" w:eastAsia="宋体" w:cs="宋体"/>
                <w:spacing w:val="-5"/>
                <w:sz w:val="28"/>
                <w:szCs w:val="28"/>
              </w:rPr>
              <w:t>据</w:t>
            </w:r>
          </w:p>
        </w:tc>
      </w:tr>
      <w:tr>
        <w:trPr>
          <w:trHeight w:val="590" w:hRule="atLeast"/>
        </w:trPr>
        <w:tc>
          <w:tcPr>
            <w:tcW w:w="9502" w:type="dxa"/>
            <w:gridSpan w:val="3"/>
            <w:vAlign w:val="top"/>
          </w:tcPr>
          <w:p>
            <w:pPr>
              <w:spacing w:before="172" w:line="219" w:lineRule="auto"/>
              <w:ind w:left="3009"/>
              <w:rPr>
                <w:rFonts w:ascii="宋体" w:hAnsi="宋体" w:eastAsia="宋体" w:cs="宋体"/>
                <w:sz w:val="28"/>
                <w:szCs w:val="28"/>
              </w:rPr>
            </w:pPr>
            <w:r>
              <w:rPr>
                <w:rFonts w:ascii="Times New Roman" w:hAnsi="Times New Roman" w:eastAsia="Times New Roman" w:cs="Times New Roman"/>
                <w:b/>
                <w:bCs/>
                <w:spacing w:val="-8"/>
                <w:sz w:val="28"/>
                <w:szCs w:val="28"/>
              </w:rPr>
              <w:t>1</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、招标人 (招标代理机构)</w:t>
            </w:r>
          </w:p>
        </w:tc>
      </w:tr>
      <w:tr>
        <w:trPr>
          <w:trHeight w:val="854" w:hRule="atLeast"/>
        </w:trPr>
        <w:tc>
          <w:tcPr>
            <w:tcW w:w="871" w:type="dxa"/>
            <w:vMerge w:val="restart"/>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6" w:line="195" w:lineRule="auto"/>
              <w:ind w:left="400"/>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5422" w:type="dxa"/>
            <w:vMerge w:val="restart"/>
            <w:vAlign w:val="top"/>
          </w:tcPr>
          <w:p>
            <w:pPr>
              <w:spacing w:before="75" w:line="275" w:lineRule="auto"/>
              <w:ind w:right="169" w:firstLine="548" w:firstLineChars="200"/>
              <w:rPr>
                <w:rFonts w:ascii="宋体" w:hAnsi="宋体" w:eastAsia="宋体" w:cs="宋体"/>
                <w:spacing w:val="22"/>
                <w:sz w:val="23"/>
                <w:szCs w:val="23"/>
              </w:rPr>
            </w:pPr>
            <w:r>
              <w:rPr>
                <w:rFonts w:ascii="宋体" w:hAnsi="宋体" w:eastAsia="宋体" w:cs="宋体"/>
                <w:spacing w:val="22"/>
                <w:sz w:val="23"/>
                <w:szCs w:val="23"/>
              </w:rPr>
              <w:t>按照国家有关规定需要履行项目审批、核准手续的 依法必须进行招标的项目，其招标范围、招标方式、 招标组织形式未报项目审批、核准部门审批、核准</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《中华人民共和国招标投标法》第九条</w:t>
            </w:r>
          </w:p>
        </w:tc>
      </w:tr>
      <w:tr>
        <w:trPr>
          <w:trHeight w:val="854" w:hRule="atLeast"/>
        </w:trPr>
        <w:tc>
          <w:tcPr>
            <w:tcW w:w="871" w:type="dxa"/>
            <w:vMerge w:val="continue"/>
            <w:vAlign w:val="top"/>
          </w:tcPr>
          <w:p>
            <w:pPr>
              <w:rPr>
                <w:rFonts w:ascii="Arial"/>
                <w:sz w:val="21"/>
              </w:rPr>
            </w:pPr>
          </w:p>
        </w:tc>
        <w:tc>
          <w:tcPr>
            <w:tcW w:w="5422" w:type="dxa"/>
            <w:vMerge w:val="continue"/>
            <w:vAlign w:val="top"/>
          </w:tcPr>
          <w:p>
            <w:pPr>
              <w:spacing w:before="75" w:line="275" w:lineRule="auto"/>
              <w:ind w:right="169" w:firstLine="548" w:firstLineChars="200"/>
              <w:rPr>
                <w:rFonts w:ascii="宋体" w:hAnsi="宋体" w:eastAsia="宋体" w:cs="宋体"/>
                <w:spacing w:val="2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《中华人民共和国招标投标法实施条例》第七条</w:t>
            </w:r>
          </w:p>
        </w:tc>
      </w:tr>
      <w:tr>
        <w:trPr>
          <w:trHeight w:val="854" w:hRule="atLeast"/>
        </w:trPr>
        <w:tc>
          <w:tcPr>
            <w:tcW w:w="871" w:type="dxa"/>
            <w:vMerge w:val="restart"/>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7" w:line="195" w:lineRule="auto"/>
              <w:ind w:left="377"/>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5422" w:type="dxa"/>
            <w:vMerge w:val="restart"/>
            <w:vAlign w:val="top"/>
          </w:tcPr>
          <w:p>
            <w:pPr>
              <w:spacing w:before="75" w:line="275" w:lineRule="auto"/>
              <w:ind w:right="169" w:firstLine="548" w:firstLineChars="200"/>
              <w:rPr>
                <w:rFonts w:ascii="宋体" w:hAnsi="宋体" w:eastAsia="宋体" w:cs="宋体"/>
                <w:spacing w:val="22"/>
                <w:sz w:val="23"/>
                <w:szCs w:val="23"/>
              </w:rPr>
            </w:pPr>
          </w:p>
          <w:p>
            <w:pPr>
              <w:spacing w:before="75" w:line="275" w:lineRule="auto"/>
              <w:ind w:right="169" w:firstLine="548" w:firstLineChars="200"/>
              <w:rPr>
                <w:rFonts w:ascii="宋体" w:hAnsi="宋体" w:eastAsia="宋体" w:cs="宋体"/>
                <w:spacing w:val="22"/>
                <w:sz w:val="23"/>
                <w:szCs w:val="23"/>
              </w:rPr>
            </w:pPr>
          </w:p>
          <w:p>
            <w:pPr>
              <w:spacing w:before="75" w:line="275" w:lineRule="auto"/>
              <w:ind w:right="169"/>
              <w:rPr>
                <w:rFonts w:ascii="宋体" w:hAnsi="宋体" w:eastAsia="宋体" w:cs="宋体"/>
                <w:spacing w:val="22"/>
                <w:sz w:val="23"/>
                <w:szCs w:val="23"/>
              </w:rPr>
            </w:pPr>
          </w:p>
          <w:p>
            <w:pPr>
              <w:spacing w:before="75" w:line="275" w:lineRule="auto"/>
              <w:ind w:right="169" w:firstLine="548" w:firstLineChars="200"/>
              <w:rPr>
                <w:rFonts w:ascii="宋体" w:hAnsi="宋体" w:eastAsia="宋体" w:cs="宋体"/>
                <w:spacing w:val="22"/>
                <w:sz w:val="23"/>
                <w:szCs w:val="23"/>
              </w:rPr>
            </w:pPr>
            <w:r>
              <w:rPr>
                <w:rFonts w:ascii="宋体" w:hAnsi="宋体" w:eastAsia="宋体" w:cs="宋体"/>
                <w:spacing w:val="22"/>
                <w:sz w:val="23"/>
                <w:szCs w:val="23"/>
              </w:rPr>
              <w:t>将依法必须进行招标的项目化整为零或者以其他 任何方式规避招标</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法》第四条</w:t>
            </w:r>
          </w:p>
        </w:tc>
      </w:tr>
      <w:tr>
        <w:trPr>
          <w:trHeight w:val="854" w:hRule="atLeast"/>
        </w:trPr>
        <w:tc>
          <w:tcPr>
            <w:tcW w:w="871" w:type="dxa"/>
            <w:vMerge w:val="continue"/>
            <w:vAlign w:val="top"/>
          </w:tcPr>
          <w:p>
            <w:pPr>
              <w:rPr>
                <w:rFonts w:ascii="Arial"/>
                <w:sz w:val="21"/>
              </w:rPr>
            </w:pPr>
          </w:p>
        </w:tc>
        <w:tc>
          <w:tcPr>
            <w:tcW w:w="5422" w:type="dxa"/>
            <w:vMerge w:val="continue"/>
            <w:vAlign w:val="top"/>
          </w:tcPr>
          <w:p>
            <w:pPr>
              <w:spacing w:before="75" w:line="275" w:lineRule="auto"/>
              <w:ind w:right="169" w:firstLine="548" w:firstLineChars="200"/>
              <w:rPr>
                <w:rFonts w:ascii="宋体" w:hAnsi="宋体" w:eastAsia="宋体" w:cs="宋体"/>
                <w:spacing w:val="2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标办法》第三条</w:t>
            </w:r>
          </w:p>
        </w:tc>
      </w:tr>
      <w:tr>
        <w:trPr>
          <w:trHeight w:val="855" w:hRule="atLeast"/>
        </w:trPr>
        <w:tc>
          <w:tcPr>
            <w:tcW w:w="871" w:type="dxa"/>
            <w:vMerge w:val="continue"/>
            <w:vAlign w:val="top"/>
          </w:tcPr>
          <w:p>
            <w:pPr>
              <w:rPr>
                <w:rFonts w:ascii="Arial"/>
                <w:sz w:val="21"/>
              </w:rPr>
            </w:pPr>
          </w:p>
        </w:tc>
        <w:tc>
          <w:tcPr>
            <w:tcW w:w="5422" w:type="dxa"/>
            <w:vMerge w:val="continue"/>
            <w:vAlign w:val="top"/>
          </w:tcPr>
          <w:p>
            <w:pPr>
              <w:spacing w:before="75" w:line="275" w:lineRule="auto"/>
              <w:ind w:right="169" w:firstLine="548" w:firstLineChars="200"/>
              <w:rPr>
                <w:rFonts w:ascii="宋体" w:hAnsi="宋体" w:eastAsia="宋体" w:cs="宋体"/>
                <w:spacing w:val="2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 标办法》第三条</w:t>
            </w:r>
          </w:p>
        </w:tc>
      </w:tr>
      <w:tr>
        <w:trPr>
          <w:trHeight w:val="855" w:hRule="atLeast"/>
        </w:trPr>
        <w:tc>
          <w:tcPr>
            <w:tcW w:w="871" w:type="dxa"/>
            <w:vMerge w:val="continue"/>
            <w:vAlign w:val="top"/>
          </w:tcPr>
          <w:p>
            <w:pPr>
              <w:rPr>
                <w:rFonts w:ascii="Arial"/>
                <w:sz w:val="21"/>
              </w:rPr>
            </w:pPr>
          </w:p>
        </w:tc>
        <w:tc>
          <w:tcPr>
            <w:tcW w:w="5422" w:type="dxa"/>
            <w:vMerge w:val="continue"/>
            <w:vAlign w:val="top"/>
          </w:tcPr>
          <w:p>
            <w:pPr>
              <w:spacing w:before="75" w:line="275" w:lineRule="auto"/>
              <w:ind w:right="169" w:firstLine="548" w:firstLineChars="200"/>
              <w:rPr>
                <w:rFonts w:ascii="宋体" w:hAnsi="宋体" w:eastAsia="宋体" w:cs="宋体"/>
                <w:spacing w:val="2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标投标办法》第三条</w:t>
            </w:r>
          </w:p>
        </w:tc>
      </w:tr>
      <w:tr>
        <w:trPr>
          <w:trHeight w:val="855" w:hRule="atLeast"/>
        </w:trPr>
        <w:tc>
          <w:tcPr>
            <w:tcW w:w="871" w:type="dxa"/>
            <w:vAlign w:val="top"/>
          </w:tcPr>
          <w:p>
            <w:pPr>
              <w:spacing w:line="317" w:lineRule="auto"/>
              <w:rPr>
                <w:rFonts w:ascii="Arial"/>
                <w:sz w:val="21"/>
              </w:rPr>
            </w:pPr>
          </w:p>
          <w:p>
            <w:pPr>
              <w:spacing w:before="66" w:line="194" w:lineRule="auto"/>
              <w:ind w:left="382"/>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5422"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应当进入而未进入公共资源交易平台</w:t>
            </w: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《公共资源交易平台管理暂</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行办法》第八条</w:t>
            </w:r>
          </w:p>
        </w:tc>
      </w:tr>
      <w:tr>
        <w:trPr>
          <w:trHeight w:val="805" w:hRule="atLeast"/>
        </w:trPr>
        <w:tc>
          <w:tcPr>
            <w:tcW w:w="871" w:type="dxa"/>
            <w:vMerge w:val="restart"/>
            <w:vAlign w:val="top"/>
          </w:tcPr>
          <w:p>
            <w:pPr>
              <w:spacing w:line="347" w:lineRule="auto"/>
              <w:rPr>
                <w:rFonts w:ascii="Arial"/>
                <w:sz w:val="21"/>
              </w:rPr>
            </w:pPr>
          </w:p>
          <w:p>
            <w:pPr>
              <w:spacing w:line="347" w:lineRule="auto"/>
              <w:rPr>
                <w:rFonts w:ascii="Arial"/>
                <w:sz w:val="21"/>
              </w:rPr>
            </w:pPr>
          </w:p>
          <w:p>
            <w:pPr>
              <w:spacing w:before="66" w:line="195" w:lineRule="auto"/>
              <w:ind w:left="376"/>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5422" w:type="dxa"/>
            <w:vMerge w:val="restart"/>
            <w:vAlign w:val="top"/>
          </w:tcPr>
          <w:p>
            <w:pPr>
              <w:spacing w:before="75" w:line="275" w:lineRule="auto"/>
              <w:ind w:right="169" w:firstLine="548" w:firstLineChars="200"/>
              <w:rPr>
                <w:rFonts w:ascii="宋体" w:hAnsi="宋体" w:eastAsia="宋体" w:cs="宋体"/>
                <w:spacing w:val="22"/>
                <w:sz w:val="23"/>
                <w:szCs w:val="23"/>
              </w:rPr>
            </w:pPr>
          </w:p>
          <w:p>
            <w:pPr>
              <w:spacing w:before="75" w:line="275" w:lineRule="auto"/>
              <w:ind w:right="169" w:firstLine="548" w:firstLineChars="200"/>
              <w:rPr>
                <w:rFonts w:ascii="宋体" w:hAnsi="宋体" w:eastAsia="宋体" w:cs="宋体"/>
                <w:spacing w:val="22"/>
                <w:sz w:val="23"/>
                <w:szCs w:val="23"/>
              </w:rPr>
            </w:pPr>
            <w:r>
              <w:rPr>
                <w:rFonts w:ascii="宋体" w:hAnsi="宋体" w:eastAsia="宋体" w:cs="宋体"/>
                <w:spacing w:val="22"/>
                <w:sz w:val="23"/>
                <w:szCs w:val="23"/>
              </w:rPr>
              <w:t>招标公告未载明招标人的名称和地址、招标项目的性质、数量、实施地点和时间以及获取招标文件的办法等事项</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法》第十六条</w:t>
            </w:r>
          </w:p>
        </w:tc>
      </w:tr>
      <w:tr>
        <w:trPr>
          <w:trHeight w:val="805" w:hRule="atLeast"/>
        </w:trPr>
        <w:tc>
          <w:tcPr>
            <w:tcW w:w="871" w:type="dxa"/>
            <w:vMerge w:val="continue"/>
            <w:vAlign w:val="top"/>
          </w:tcPr>
          <w:p>
            <w:pPr>
              <w:rPr>
                <w:rFonts w:ascii="Arial"/>
                <w:sz w:val="21"/>
              </w:rPr>
            </w:pPr>
          </w:p>
        </w:tc>
        <w:tc>
          <w:tcPr>
            <w:tcW w:w="5422" w:type="dxa"/>
            <w:vMerge w:val="continue"/>
            <w:vAlign w:val="top"/>
          </w:tcPr>
          <w:p>
            <w:pPr>
              <w:spacing w:before="75" w:line="275" w:lineRule="auto"/>
              <w:ind w:right="169" w:firstLine="548" w:firstLineChars="200"/>
              <w:rPr>
                <w:rFonts w:ascii="宋体" w:hAnsi="宋体" w:eastAsia="宋体" w:cs="宋体"/>
                <w:spacing w:val="2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《招标公告和公示信息发布 管理办法》第五条</w:t>
            </w:r>
          </w:p>
        </w:tc>
      </w:tr>
      <w:tr>
        <w:trPr>
          <w:trHeight w:val="855" w:hRule="atLeast"/>
        </w:trPr>
        <w:tc>
          <w:tcPr>
            <w:tcW w:w="871" w:type="dxa"/>
            <w:vMerge w:val="restart"/>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6" w:line="191" w:lineRule="auto"/>
              <w:ind w:left="383"/>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5422" w:type="dxa"/>
            <w:vMerge w:val="restart"/>
            <w:vAlign w:val="top"/>
          </w:tcPr>
          <w:p>
            <w:pPr>
              <w:spacing w:before="75" w:line="275" w:lineRule="auto"/>
              <w:ind w:right="169"/>
              <w:rPr>
                <w:rFonts w:ascii="宋体" w:hAnsi="宋体" w:eastAsia="宋体" w:cs="宋体"/>
                <w:spacing w:val="22"/>
                <w:sz w:val="23"/>
                <w:szCs w:val="23"/>
              </w:rPr>
            </w:pPr>
          </w:p>
          <w:p>
            <w:pPr>
              <w:spacing w:before="75" w:line="275" w:lineRule="auto"/>
              <w:ind w:right="169" w:firstLine="548" w:firstLineChars="200"/>
              <w:rPr>
                <w:rFonts w:ascii="宋体" w:hAnsi="宋体" w:eastAsia="宋体" w:cs="宋体"/>
                <w:spacing w:val="22"/>
                <w:sz w:val="23"/>
                <w:szCs w:val="23"/>
              </w:rPr>
            </w:pPr>
            <w:r>
              <w:rPr>
                <w:rFonts w:ascii="宋体" w:hAnsi="宋体" w:eastAsia="宋体" w:cs="宋体"/>
                <w:spacing w:val="22"/>
                <w:sz w:val="23"/>
                <w:szCs w:val="23"/>
              </w:rPr>
              <w:t>未在招标公告或者投标邀请书中载明是否接受联合体投标</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法实施条例》第三十七条</w:t>
            </w:r>
          </w:p>
        </w:tc>
      </w:tr>
      <w:tr>
        <w:trPr>
          <w:trHeight w:val="857"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《招标公告和公示信息发布</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管理办法》第五条</w:t>
            </w:r>
          </w:p>
        </w:tc>
      </w:tr>
    </w:tbl>
    <w:p>
      <w:pPr>
        <w:rPr>
          <w:rFonts w:ascii="Arial"/>
          <w:sz w:val="21"/>
        </w:rPr>
      </w:pPr>
    </w:p>
    <w:p>
      <w:pPr>
        <w:sectPr>
          <w:footerReference r:id="rId4" w:type="default"/>
          <w:pgSz w:w="11906" w:h="16839"/>
          <w:pgMar w:top="1431" w:right="1242" w:bottom="1156"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22"/>
        <w:gridCol w:w="3209"/>
      </w:tblGrid>
      <w:tr>
        <w:trPr>
          <w:trHeight w:val="864"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322" w:lineRule="auto"/>
              <w:rPr>
                <w:rFonts w:ascii="Arial"/>
                <w:sz w:val="21"/>
              </w:rPr>
            </w:pPr>
          </w:p>
          <w:p>
            <w:pPr>
              <w:spacing w:before="66" w:line="194" w:lineRule="auto"/>
              <w:ind w:left="382"/>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5422"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firstLine="548" w:firstLineChars="200"/>
              <w:rPr>
                <w:rFonts w:ascii="宋体" w:hAnsi="宋体" w:eastAsia="宋体" w:cs="宋体"/>
                <w:sz w:val="23"/>
                <w:szCs w:val="23"/>
              </w:rPr>
            </w:pPr>
            <w:r>
              <w:rPr>
                <w:rFonts w:ascii="宋体" w:hAnsi="宋体" w:eastAsia="宋体" w:cs="宋体"/>
                <w:spacing w:val="22"/>
                <w:sz w:val="23"/>
                <w:szCs w:val="23"/>
              </w:rPr>
              <w:t>强制投标人组成联合体共同投标，限制投标人之间的竞争</w:t>
            </w: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法》第三十一条</w:t>
            </w:r>
          </w:p>
        </w:tc>
      </w:tr>
      <w:tr>
        <w:trPr>
          <w:trHeight w:val="1423" w:hRule="atLeast"/>
        </w:trPr>
        <w:tc>
          <w:tcPr>
            <w:tcW w:w="871" w:type="dxa"/>
            <w:vMerge w:val="restart"/>
            <w:tcBorders>
              <w:top w:val="single" w:color="auto" w:sz="4"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6" w:line="191" w:lineRule="auto"/>
              <w:ind w:left="381"/>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5422" w:type="dxa"/>
            <w:vMerge w:val="restart"/>
            <w:tcBorders>
              <w:top w:val="single" w:color="auto" w:sz="4" w:space="0"/>
              <w:bottom w:val="nil"/>
            </w:tcBorders>
            <w:vAlign w:val="top"/>
          </w:tcPr>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(1)设定的资格、技术、商务条件或者业绩、奖项要求与招标项目的具体特点和实际需要不相适 应或者与合同履行无关</w:t>
            </w:r>
          </w:p>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(2)以特定行政区域或者特定行业的业绩、奖项 作为资格条件、评分因素或者中标条件</w:t>
            </w:r>
          </w:p>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(3)限定或者指定特定的专利、商标、品牌、原产地、供应商或者检验检测认证机构 (法律法规有 明确要求的除外)</w:t>
            </w:r>
          </w:p>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(4)违法限定潜在投标人或者投标人的所有制形式或者组织形式，对不同所有制投标人采取不同的资格审查标准</w:t>
            </w:r>
          </w:p>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(5)设定投标人股东背景、年平均承接项目数量或者金额、从业人员、纳税额、营业场所面积等规模条件</w:t>
            </w:r>
          </w:p>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(6)设置超过项目实际需要的投标人注册资本</w:t>
            </w:r>
            <w:r>
              <w:rPr>
                <w:rFonts w:hint="eastAsia" w:ascii="宋体" w:hAnsi="宋体" w:eastAsia="宋体" w:cs="宋体"/>
                <w:spacing w:val="23"/>
                <w:sz w:val="23"/>
                <w:szCs w:val="23"/>
                <w:lang w:eastAsia="zh-CN"/>
              </w:rPr>
              <w:t>、</w:t>
            </w:r>
            <w:r>
              <w:rPr>
                <w:rFonts w:ascii="宋体" w:hAnsi="宋体" w:eastAsia="宋体" w:cs="宋体"/>
                <w:spacing w:val="23"/>
                <w:sz w:val="23"/>
                <w:szCs w:val="23"/>
              </w:rPr>
              <w:t>资产总额、净资产规模、营业收入、利润、授信额度等财务指标</w:t>
            </w:r>
          </w:p>
          <w:p>
            <w:pPr>
              <w:spacing w:before="117" w:line="240" w:lineRule="auto"/>
              <w:ind w:firstLine="552" w:firstLineChars="200"/>
              <w:jc w:val="left"/>
              <w:rPr>
                <w:rFonts w:ascii="宋体" w:hAnsi="宋体" w:eastAsia="宋体" w:cs="宋体"/>
                <w:spacing w:val="23"/>
                <w:sz w:val="23"/>
                <w:szCs w:val="23"/>
              </w:rPr>
            </w:pPr>
            <w:r>
              <w:rPr>
                <w:rFonts w:ascii="宋体" w:hAnsi="宋体" w:eastAsia="宋体" w:cs="宋体"/>
                <w:spacing w:val="23"/>
                <w:sz w:val="23"/>
                <w:szCs w:val="23"/>
              </w:rPr>
              <w:t>(7)将政府部门、行业协会商会或者其他机构对投标人作出的荣誉奖励和慈善公益证明等作为资格条件、中标条件</w:t>
            </w:r>
          </w:p>
          <w:p>
            <w:pPr>
              <w:spacing w:before="117" w:line="240" w:lineRule="auto"/>
              <w:ind w:firstLine="552" w:firstLineChars="200"/>
              <w:jc w:val="left"/>
              <w:rPr>
                <w:rFonts w:ascii="宋体" w:hAnsi="宋体" w:eastAsia="宋体" w:cs="宋体"/>
                <w:sz w:val="23"/>
                <w:szCs w:val="23"/>
              </w:rPr>
            </w:pPr>
            <w:r>
              <w:rPr>
                <w:rFonts w:ascii="宋体" w:hAnsi="宋体" w:eastAsia="宋体" w:cs="宋体"/>
                <w:spacing w:val="23"/>
                <w:sz w:val="23"/>
                <w:szCs w:val="23"/>
              </w:rPr>
              <w:t>(8)要求投标人在本地注册设立子公司、分公司</w:t>
            </w:r>
            <w:r>
              <w:rPr>
                <w:rFonts w:hint="eastAsia" w:ascii="宋体" w:hAnsi="宋体" w:eastAsia="宋体" w:cs="宋体"/>
                <w:spacing w:val="23"/>
                <w:sz w:val="23"/>
                <w:szCs w:val="23"/>
                <w:lang w:eastAsia="zh-CN"/>
              </w:rPr>
              <w:t>、</w:t>
            </w:r>
            <w:r>
              <w:rPr>
                <w:rFonts w:ascii="宋体" w:hAnsi="宋体" w:eastAsia="宋体" w:cs="宋体"/>
                <w:spacing w:val="23"/>
                <w:sz w:val="23"/>
                <w:szCs w:val="23"/>
              </w:rPr>
              <w:t>分支机构，在本地拥有一定办公面积，在本地缴纳社会保险等</w:t>
            </w:r>
          </w:p>
        </w:tc>
        <w:tc>
          <w:tcPr>
            <w:tcW w:w="3209" w:type="dxa"/>
            <w:tcBorders>
              <w:top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法实施条例》第三十二条</w:t>
            </w:r>
          </w:p>
        </w:tc>
      </w:tr>
      <w:tr>
        <w:trPr>
          <w:trHeight w:val="1077"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rPr>
                <w:rFonts w:ascii="Arial"/>
                <w:sz w:val="21"/>
              </w:rPr>
            </w:pP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法》第十八条</w:t>
            </w:r>
          </w:p>
        </w:tc>
      </w:tr>
      <w:tr>
        <w:trPr>
          <w:trHeight w:val="2994"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《优化营商环境条例》第十 三条</w:t>
            </w:r>
          </w:p>
        </w:tc>
      </w:tr>
      <w:tr>
        <w:trPr>
          <w:trHeight w:val="2553"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top"/>
          </w:tcPr>
          <w:p>
            <w:pPr>
              <w:spacing w:before="75" w:line="275" w:lineRule="auto"/>
              <w:ind w:right="169"/>
              <w:jc w:val="both"/>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《关于印发工程项目招投标 领域营商环境专项整治工作 方案的通知》 (发改办法规〔2019〕862 号)附件第二“整治范围和内容”</w:t>
            </w:r>
          </w:p>
        </w:tc>
      </w:tr>
      <w:tr>
        <w:trPr>
          <w:trHeight w:val="855" w:hRule="atLeast"/>
        </w:trPr>
        <w:tc>
          <w:tcPr>
            <w:tcW w:w="87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6" w:line="194" w:lineRule="auto"/>
              <w:ind w:left="387"/>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5422" w:type="dxa"/>
            <w:vMerge w:val="restart"/>
            <w:tcBorders>
              <w:bottom w:val="nil"/>
            </w:tcBorders>
            <w:vAlign w:val="top"/>
          </w:tcPr>
          <w:p>
            <w:pPr>
              <w:spacing w:line="266" w:lineRule="auto"/>
              <w:rPr>
                <w:rFonts w:ascii="Arial"/>
                <w:sz w:val="21"/>
              </w:rPr>
            </w:pPr>
          </w:p>
          <w:p>
            <w:pPr>
              <w:spacing w:before="75" w:line="275" w:lineRule="auto"/>
              <w:ind w:right="169" w:firstLine="548" w:firstLineChars="200"/>
              <w:rPr>
                <w:rFonts w:ascii="宋体" w:hAnsi="宋体" w:eastAsia="宋体" w:cs="宋体"/>
                <w:sz w:val="23"/>
                <w:szCs w:val="23"/>
              </w:rPr>
            </w:pPr>
            <w:r>
              <w:rPr>
                <w:rFonts w:ascii="宋体" w:hAnsi="宋体" w:eastAsia="宋体" w:cs="宋体"/>
                <w:spacing w:val="22"/>
                <w:sz w:val="23"/>
                <w:szCs w:val="23"/>
              </w:rPr>
              <w:t>(</w:t>
            </w:r>
            <w:r>
              <w:rPr>
                <w:rFonts w:ascii="Times New Roman" w:hAnsi="Times New Roman" w:eastAsia="Times New Roman" w:cs="Times New Roman"/>
                <w:spacing w:val="16"/>
                <w:sz w:val="23"/>
                <w:szCs w:val="23"/>
              </w:rPr>
              <w:t>1</w:t>
            </w:r>
            <w:r>
              <w:rPr>
                <w:rFonts w:ascii="宋体" w:hAnsi="宋体" w:eastAsia="宋体" w:cs="宋体"/>
                <w:spacing w:val="11"/>
                <w:sz w:val="23"/>
                <w:szCs w:val="23"/>
              </w:rPr>
              <w:t>)将国家行政机关或授权机构非强制的资质、</w:t>
            </w:r>
            <w:r>
              <w:rPr>
                <w:rFonts w:ascii="宋体" w:hAnsi="宋体" w:eastAsia="宋体" w:cs="宋体"/>
                <w:spacing w:val="1"/>
                <w:sz w:val="23"/>
                <w:szCs w:val="23"/>
              </w:rPr>
              <w:t>资格、认证、 目录等作为资格条</w:t>
            </w:r>
            <w:r>
              <w:rPr>
                <w:rFonts w:ascii="宋体" w:hAnsi="宋体" w:eastAsia="宋体" w:cs="宋体"/>
                <w:sz w:val="23"/>
                <w:szCs w:val="23"/>
              </w:rPr>
              <w:t>件</w:t>
            </w:r>
          </w:p>
          <w:p>
            <w:pPr>
              <w:spacing w:before="113" w:line="275" w:lineRule="auto"/>
              <w:ind w:right="129" w:firstLine="552" w:firstLineChars="200"/>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2</w:t>
            </w:r>
            <w:r>
              <w:rPr>
                <w:rFonts w:ascii="宋体" w:hAnsi="宋体" w:eastAsia="宋体" w:cs="宋体"/>
                <w:spacing w:val="13"/>
                <w:sz w:val="23"/>
                <w:szCs w:val="23"/>
              </w:rPr>
              <w:t>)将国家已经明令取消的资质资格作为资格条</w:t>
            </w:r>
            <w:r>
              <w:rPr>
                <w:rFonts w:ascii="宋体" w:hAnsi="宋体" w:eastAsia="宋体" w:cs="宋体"/>
                <w:spacing w:val="12"/>
                <w:sz w:val="23"/>
                <w:szCs w:val="23"/>
              </w:rPr>
              <w:t>件</w:t>
            </w:r>
            <w:r>
              <w:rPr>
                <w:rFonts w:ascii="宋体" w:hAnsi="宋体" w:eastAsia="宋体" w:cs="宋体"/>
                <w:spacing w:val="9"/>
                <w:sz w:val="23"/>
                <w:szCs w:val="23"/>
              </w:rPr>
              <w:t>、评分因素或者中标条件</w:t>
            </w:r>
          </w:p>
          <w:p>
            <w:pPr>
              <w:spacing w:before="117" w:line="331" w:lineRule="auto"/>
              <w:ind w:right="105" w:firstLine="552" w:firstLineChars="200"/>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3</w:t>
            </w:r>
            <w:r>
              <w:rPr>
                <w:rFonts w:ascii="宋体" w:hAnsi="宋体" w:eastAsia="宋体" w:cs="宋体"/>
                <w:spacing w:val="13"/>
                <w:sz w:val="23"/>
                <w:szCs w:val="23"/>
              </w:rPr>
              <w:t>)在国家已经明令取消资质资格的领域，将其</w:t>
            </w:r>
            <w:r>
              <w:rPr>
                <w:rFonts w:ascii="宋体" w:hAnsi="宋体" w:eastAsia="宋体" w:cs="宋体"/>
                <w:spacing w:val="12"/>
                <w:sz w:val="23"/>
                <w:szCs w:val="23"/>
              </w:rPr>
              <w:t>他</w:t>
            </w:r>
            <w:r>
              <w:rPr>
                <w:rFonts w:ascii="宋体" w:hAnsi="宋体" w:eastAsia="宋体" w:cs="宋体"/>
                <w:spacing w:val="6"/>
                <w:sz w:val="23"/>
                <w:szCs w:val="23"/>
              </w:rPr>
              <w:t>资质资格作为资格条件、评分因素或者中标条件</w:t>
            </w: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法》第十八条</w:t>
            </w:r>
          </w:p>
        </w:tc>
      </w:tr>
      <w:tr>
        <w:trPr>
          <w:trHeight w:val="118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rPr>
                <w:rFonts w:ascii="Arial"/>
                <w:sz w:val="21"/>
              </w:rPr>
            </w:pP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法实施条例》第三十二条</w:t>
            </w:r>
          </w:p>
        </w:tc>
      </w:tr>
      <w:tr>
        <w:trPr>
          <w:trHeight w:val="807"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《关于印发工程项目招投标 领域营商环境专项整治工作</w:t>
            </w:r>
          </w:p>
        </w:tc>
      </w:tr>
    </w:tbl>
    <w:p>
      <w:pPr>
        <w:rPr>
          <w:rFonts w:ascii="Arial"/>
          <w:sz w:val="21"/>
        </w:rPr>
      </w:pPr>
    </w:p>
    <w:p>
      <w:pPr>
        <w:sectPr>
          <w:footerReference r:id="rId5" w:type="default"/>
          <w:pgSz w:w="11906" w:h="16839"/>
          <w:pgMar w:top="1431" w:right="1242" w:bottom="1157"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22"/>
        <w:gridCol w:w="3209"/>
      </w:tblGrid>
      <w:tr>
        <w:trPr>
          <w:trHeight w:val="1209" w:hRule="atLeast"/>
        </w:trPr>
        <w:tc>
          <w:tcPr>
            <w:tcW w:w="87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42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209" w:type="dxa"/>
            <w:tcBorders>
              <w:lef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方案的通知》  (发改办法规〔2019〕862 号)附件第二“整治范围和内容”</w:t>
            </w:r>
          </w:p>
        </w:tc>
      </w:tr>
      <w:tr>
        <w:trPr>
          <w:trHeight w:val="854" w:hRule="atLeast"/>
        </w:trPr>
        <w:tc>
          <w:tcPr>
            <w:tcW w:w="871" w:type="dxa"/>
            <w:vMerge w:val="restart"/>
            <w:tcBorders>
              <w:top w:val="single" w:color="auto" w:sz="4" w:space="0"/>
              <w:bottom w:val="single" w:color="auto" w:sz="4"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66" w:line="195" w:lineRule="auto"/>
              <w:ind w:left="382"/>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5422" w:type="dxa"/>
            <w:vMerge w:val="restart"/>
            <w:tcBorders>
              <w:top w:val="single" w:color="auto" w:sz="4" w:space="0"/>
              <w:bottom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4" w:line="227" w:lineRule="auto"/>
              <w:ind w:left="1041"/>
              <w:rPr>
                <w:rFonts w:ascii="宋体" w:hAnsi="宋体" w:eastAsia="宋体" w:cs="宋体"/>
                <w:sz w:val="23"/>
                <w:szCs w:val="23"/>
              </w:rPr>
            </w:pPr>
            <w:r>
              <w:rPr>
                <w:rFonts w:ascii="宋体" w:hAnsi="宋体" w:eastAsia="宋体" w:cs="宋体"/>
                <w:spacing w:val="9"/>
                <w:sz w:val="23"/>
                <w:szCs w:val="23"/>
              </w:rPr>
              <w:t>没有法律法规依据设定投标报名</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《电子招标投标办法》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第二十条</w:t>
            </w:r>
          </w:p>
        </w:tc>
      </w:tr>
      <w:tr>
        <w:trPr>
          <w:trHeight w:val="2004" w:hRule="atLeast"/>
        </w:trPr>
        <w:tc>
          <w:tcPr>
            <w:tcW w:w="871" w:type="dxa"/>
            <w:vMerge w:val="continue"/>
            <w:tcBorders>
              <w:top w:val="single" w:color="auto" w:sz="4" w:space="0"/>
              <w:bottom w:val="single" w:color="auto" w:sz="4" w:space="0"/>
            </w:tcBorders>
            <w:vAlign w:val="top"/>
          </w:tcPr>
          <w:p>
            <w:pPr>
              <w:rPr>
                <w:rFonts w:ascii="Arial"/>
                <w:sz w:val="21"/>
              </w:rPr>
            </w:pPr>
          </w:p>
        </w:tc>
        <w:tc>
          <w:tcPr>
            <w:tcW w:w="5422" w:type="dxa"/>
            <w:vMerge w:val="continue"/>
            <w:tcBorders>
              <w:top w:val="single" w:color="auto" w:sz="4" w:space="0"/>
              <w:bottom w:val="single" w:color="auto" w:sz="4" w:space="0"/>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《关于印发工程项目招投标 领域营商环境专项整治工作 方案的通知》  (发改办法规〔2019〕862 号)附件第二“整治范围和内容”</w:t>
            </w:r>
          </w:p>
        </w:tc>
      </w:tr>
      <w:tr>
        <w:trPr>
          <w:trHeight w:val="2864" w:hRule="atLeast"/>
        </w:trPr>
        <w:tc>
          <w:tcPr>
            <w:tcW w:w="871" w:type="dxa"/>
            <w:tcBorders>
              <w:top w:val="single" w:color="auto" w:sz="4"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6" w:line="194"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5422" w:type="dxa"/>
            <w:tcBorders>
              <w:top w:val="single" w:color="auto" w:sz="4" w:space="0"/>
            </w:tcBorders>
            <w:vAlign w:val="top"/>
          </w:tcPr>
          <w:p>
            <w:pPr>
              <w:spacing w:line="333" w:lineRule="auto"/>
              <w:rPr>
                <w:rFonts w:ascii="Arial"/>
                <w:sz w:val="21"/>
              </w:rPr>
            </w:pPr>
          </w:p>
          <w:p>
            <w:pPr>
              <w:spacing w:line="334" w:lineRule="auto"/>
              <w:rPr>
                <w:rFonts w:ascii="Arial"/>
                <w:sz w:val="21"/>
              </w:rPr>
            </w:pPr>
          </w:p>
          <w:p>
            <w:pPr>
              <w:spacing w:before="75" w:line="275" w:lineRule="auto"/>
              <w:ind w:right="129" w:firstLine="552" w:firstLineChars="200"/>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1</w:t>
            </w:r>
            <w:r>
              <w:rPr>
                <w:rFonts w:ascii="宋体" w:hAnsi="宋体" w:eastAsia="宋体" w:cs="宋体"/>
                <w:spacing w:val="13"/>
                <w:sz w:val="23"/>
                <w:szCs w:val="23"/>
              </w:rPr>
              <w:t>)对仅需提供有关资质证明文件、证照、证件</w:t>
            </w:r>
            <w:r>
              <w:rPr>
                <w:rFonts w:ascii="宋体" w:hAnsi="宋体" w:eastAsia="宋体" w:cs="宋体"/>
                <w:spacing w:val="16"/>
                <w:sz w:val="23"/>
                <w:szCs w:val="23"/>
              </w:rPr>
              <w:t>复</w:t>
            </w:r>
            <w:r>
              <w:rPr>
                <w:rFonts w:ascii="宋体" w:hAnsi="宋体" w:eastAsia="宋体" w:cs="宋体"/>
                <w:spacing w:val="10"/>
                <w:sz w:val="23"/>
                <w:szCs w:val="23"/>
              </w:rPr>
              <w:t>印</w:t>
            </w:r>
            <w:r>
              <w:rPr>
                <w:rFonts w:ascii="宋体" w:hAnsi="宋体" w:eastAsia="宋体" w:cs="宋体"/>
                <w:spacing w:val="8"/>
                <w:sz w:val="23"/>
                <w:szCs w:val="23"/>
              </w:rPr>
              <w:t>件的，要求必须提供原件</w:t>
            </w:r>
          </w:p>
          <w:p>
            <w:pPr>
              <w:spacing w:before="115" w:line="274" w:lineRule="auto"/>
              <w:ind w:right="43" w:firstLine="492" w:firstLineChars="200"/>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2</w:t>
            </w:r>
            <w:r>
              <w:rPr>
                <w:rFonts w:ascii="宋体" w:hAnsi="宋体" w:eastAsia="宋体" w:cs="宋体"/>
                <w:spacing w:val="8"/>
                <w:sz w:val="23"/>
                <w:szCs w:val="23"/>
              </w:rPr>
              <w:t>)对按规定可以采用“多证合一”电子证照的</w:t>
            </w:r>
            <w:r>
              <w:rPr>
                <w:rFonts w:ascii="宋体" w:hAnsi="宋体" w:eastAsia="宋体" w:cs="宋体"/>
                <w:spacing w:val="4"/>
                <w:sz w:val="23"/>
                <w:szCs w:val="23"/>
              </w:rPr>
              <w:t>，</w:t>
            </w:r>
            <w:r>
              <w:rPr>
                <w:rFonts w:ascii="宋体" w:hAnsi="宋体" w:eastAsia="宋体" w:cs="宋体"/>
                <w:spacing w:val="9"/>
                <w:sz w:val="23"/>
                <w:szCs w:val="23"/>
              </w:rPr>
              <w:t>要求必须提供纸质证</w:t>
            </w:r>
            <w:r>
              <w:rPr>
                <w:rFonts w:ascii="宋体" w:hAnsi="宋体" w:eastAsia="宋体" w:cs="宋体"/>
                <w:spacing w:val="8"/>
                <w:sz w:val="23"/>
                <w:szCs w:val="23"/>
              </w:rPr>
              <w:t>照</w:t>
            </w:r>
          </w:p>
        </w:tc>
        <w:tc>
          <w:tcPr>
            <w:tcW w:w="3209" w:type="dxa"/>
            <w:vAlign w:val="top"/>
          </w:tcPr>
          <w:p>
            <w:pPr>
              <w:spacing w:line="470" w:lineRule="auto"/>
              <w:rPr>
                <w:rFonts w:ascii="Arial"/>
                <w:sz w:val="21"/>
              </w:rPr>
            </w:pPr>
          </w:p>
          <w:p>
            <w:pPr>
              <w:spacing w:before="75" w:line="321" w:lineRule="auto"/>
              <w:ind w:right="16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关于印发工程项目招投标</w:t>
            </w:r>
            <w:r>
              <w:rPr>
                <w:rFonts w:ascii="宋体" w:hAnsi="宋体" w:eastAsia="宋体" w:cs="宋体"/>
                <w:sz w:val="23"/>
                <w:szCs w:val="23"/>
              </w:rPr>
              <w:t xml:space="preserve"> </w:t>
            </w:r>
            <w:r>
              <w:rPr>
                <w:rFonts w:ascii="宋体" w:hAnsi="宋体" w:eastAsia="宋体" w:cs="宋体"/>
                <w:spacing w:val="11"/>
                <w:sz w:val="23"/>
                <w:szCs w:val="23"/>
              </w:rPr>
              <w:t>领</w:t>
            </w:r>
            <w:r>
              <w:rPr>
                <w:rFonts w:ascii="宋体" w:hAnsi="宋体" w:eastAsia="宋体" w:cs="宋体"/>
                <w:spacing w:val="9"/>
                <w:sz w:val="23"/>
                <w:szCs w:val="23"/>
              </w:rPr>
              <w:t>域营商环境专项整治工作</w:t>
            </w:r>
            <w:r>
              <w:rPr>
                <w:rFonts w:ascii="宋体" w:hAnsi="宋体" w:eastAsia="宋体" w:cs="宋体"/>
                <w:sz w:val="23"/>
                <w:szCs w:val="23"/>
              </w:rPr>
              <w:t xml:space="preserve"> </w:t>
            </w:r>
            <w:r>
              <w:rPr>
                <w:rFonts w:ascii="宋体" w:hAnsi="宋体" w:eastAsia="宋体" w:cs="宋体"/>
                <w:spacing w:val="-1"/>
                <w:sz w:val="23"/>
                <w:szCs w:val="23"/>
              </w:rPr>
              <w:t>方案的通知</w:t>
            </w:r>
            <w:r>
              <w:rPr>
                <w:rFonts w:ascii="宋体" w:hAnsi="宋体" w:eastAsia="宋体" w:cs="宋体"/>
                <w:sz w:val="23"/>
                <w:szCs w:val="23"/>
              </w:rPr>
              <w:t>》  (发改办法规</w:t>
            </w:r>
          </w:p>
          <w:p>
            <w:pPr>
              <w:spacing w:before="2" w:line="330" w:lineRule="auto"/>
              <w:ind w:right="107"/>
              <w:rPr>
                <w:rFonts w:ascii="宋体" w:hAnsi="宋体" w:eastAsia="宋体" w:cs="宋体"/>
                <w:sz w:val="23"/>
                <w:szCs w:val="23"/>
              </w:rPr>
            </w:pPr>
            <w:r>
              <w:rPr>
                <w:rFonts w:ascii="宋体" w:hAnsi="宋体" w:eastAsia="宋体" w:cs="宋体"/>
                <w:spacing w:val="-10"/>
                <w:sz w:val="23"/>
                <w:szCs w:val="23"/>
              </w:rPr>
              <w:t>〔</w:t>
            </w:r>
            <w:r>
              <w:rPr>
                <w:rFonts w:ascii="Times New Roman" w:hAnsi="Times New Roman" w:eastAsia="Times New Roman" w:cs="Times New Roman"/>
                <w:spacing w:val="-9"/>
                <w:sz w:val="23"/>
                <w:szCs w:val="23"/>
              </w:rPr>
              <w:t>2</w:t>
            </w:r>
            <w:r>
              <w:rPr>
                <w:rFonts w:ascii="Times New Roman" w:hAnsi="Times New Roman" w:eastAsia="Times New Roman" w:cs="Times New Roman"/>
                <w:spacing w:val="-5"/>
                <w:sz w:val="23"/>
                <w:szCs w:val="23"/>
              </w:rPr>
              <w:t>019</w:t>
            </w:r>
            <w:r>
              <w:rPr>
                <w:rFonts w:ascii="宋体" w:hAnsi="宋体" w:eastAsia="宋体" w:cs="宋体"/>
                <w:spacing w:val="-5"/>
                <w:sz w:val="23"/>
                <w:szCs w:val="23"/>
              </w:rPr>
              <w:t>〕</w:t>
            </w:r>
            <w:r>
              <w:rPr>
                <w:rFonts w:ascii="Times New Roman" w:hAnsi="Times New Roman" w:eastAsia="Times New Roman" w:cs="Times New Roman"/>
                <w:spacing w:val="-5"/>
                <w:sz w:val="23"/>
                <w:szCs w:val="23"/>
              </w:rPr>
              <w:t xml:space="preserve">862 </w:t>
            </w:r>
            <w:r>
              <w:rPr>
                <w:rFonts w:ascii="宋体" w:hAnsi="宋体" w:eastAsia="宋体" w:cs="宋体"/>
                <w:spacing w:val="-5"/>
                <w:sz w:val="23"/>
                <w:szCs w:val="23"/>
              </w:rPr>
              <w:t>号)附件第二“整</w:t>
            </w:r>
            <w:r>
              <w:rPr>
                <w:rFonts w:ascii="宋体" w:hAnsi="宋体" w:eastAsia="宋体" w:cs="宋体"/>
                <w:sz w:val="23"/>
                <w:szCs w:val="23"/>
              </w:rPr>
              <w:t xml:space="preserve"> </w:t>
            </w:r>
            <w:r>
              <w:rPr>
                <w:rFonts w:ascii="宋体" w:hAnsi="宋体" w:eastAsia="宋体" w:cs="宋体"/>
                <w:spacing w:val="25"/>
                <w:sz w:val="23"/>
                <w:szCs w:val="23"/>
              </w:rPr>
              <w:t>治</w:t>
            </w:r>
            <w:r>
              <w:rPr>
                <w:rFonts w:ascii="宋体" w:hAnsi="宋体" w:eastAsia="宋体" w:cs="宋体"/>
                <w:spacing w:val="24"/>
                <w:sz w:val="23"/>
                <w:szCs w:val="23"/>
              </w:rPr>
              <w:t>范围和内容”</w:t>
            </w:r>
          </w:p>
        </w:tc>
      </w:tr>
      <w:tr>
        <w:trPr>
          <w:trHeight w:val="855" w:hRule="atLeast"/>
        </w:trPr>
        <w:tc>
          <w:tcPr>
            <w:tcW w:w="87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6" w:line="195"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1</w:t>
            </w:r>
          </w:p>
        </w:tc>
        <w:tc>
          <w:tcPr>
            <w:tcW w:w="5422" w:type="dxa"/>
            <w:vMerge w:val="restart"/>
            <w:tcBorders>
              <w:bottom w:val="nil"/>
            </w:tcBorders>
            <w:vAlign w:val="top"/>
          </w:tcPr>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r>
              <w:rPr>
                <w:rFonts w:ascii="宋体" w:hAnsi="宋体" w:eastAsia="宋体" w:cs="宋体"/>
                <w:spacing w:val="12"/>
                <w:sz w:val="23"/>
                <w:szCs w:val="23"/>
              </w:rPr>
              <w:t>采取资格后审的，未在招标文件中载明对投标人资 格要求的条件、标准和方法</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法》第十九条</w:t>
            </w:r>
          </w:p>
        </w:tc>
      </w:tr>
      <w:tr>
        <w:trPr>
          <w:trHeight w:val="854"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spacing w:before="75" w:line="227" w:lineRule="auto"/>
              <w:ind w:firstLine="508" w:firstLineChars="200"/>
              <w:rPr>
                <w:rFonts w:ascii="宋体" w:hAnsi="宋体" w:eastAsia="宋体" w:cs="宋体"/>
                <w:spacing w:val="1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法实施条例》第二十条</w:t>
            </w:r>
          </w:p>
        </w:tc>
      </w:tr>
      <w:tr>
        <w:trPr>
          <w:trHeight w:val="85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spacing w:before="75" w:line="227" w:lineRule="auto"/>
              <w:ind w:firstLine="508" w:firstLineChars="200"/>
              <w:rPr>
                <w:rFonts w:ascii="宋体" w:hAnsi="宋体" w:eastAsia="宋体" w:cs="宋体"/>
                <w:spacing w:val="1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 标办法》第十八条</w:t>
            </w:r>
          </w:p>
        </w:tc>
      </w:tr>
      <w:tr>
        <w:trPr>
          <w:trHeight w:val="85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spacing w:before="75" w:line="227" w:lineRule="auto"/>
              <w:ind w:firstLine="508" w:firstLineChars="200"/>
              <w:rPr>
                <w:rFonts w:ascii="宋体" w:hAnsi="宋体" w:eastAsia="宋体" w:cs="宋体"/>
                <w:spacing w:val="1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标办法》第十九条</w:t>
            </w:r>
          </w:p>
        </w:tc>
      </w:tr>
      <w:tr>
        <w:trPr>
          <w:trHeight w:val="855"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spacing w:before="75" w:line="227" w:lineRule="auto"/>
              <w:ind w:firstLine="508" w:firstLineChars="200"/>
              <w:rPr>
                <w:rFonts w:ascii="宋体" w:hAnsi="宋体" w:eastAsia="宋体" w:cs="宋体"/>
                <w:spacing w:val="12"/>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标投标办法》第十五条</w:t>
            </w:r>
          </w:p>
        </w:tc>
      </w:tr>
      <w:tr>
        <w:trPr>
          <w:trHeight w:val="855" w:hRule="atLeast"/>
        </w:trPr>
        <w:tc>
          <w:tcPr>
            <w:tcW w:w="87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7" w:line="195"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2</w:t>
            </w:r>
          </w:p>
        </w:tc>
        <w:tc>
          <w:tcPr>
            <w:tcW w:w="5422" w:type="dxa"/>
            <w:vMerge w:val="restart"/>
            <w:tcBorders>
              <w:bottom w:val="nil"/>
            </w:tcBorders>
            <w:vAlign w:val="top"/>
          </w:tcPr>
          <w:p>
            <w:pPr>
              <w:spacing w:before="75" w:line="227" w:lineRule="auto"/>
              <w:ind w:firstLine="508" w:firstLineChars="200"/>
              <w:rPr>
                <w:rFonts w:ascii="宋体" w:hAnsi="宋体" w:eastAsia="宋体" w:cs="宋体"/>
                <w:spacing w:val="12"/>
                <w:sz w:val="23"/>
                <w:szCs w:val="23"/>
              </w:rPr>
            </w:pPr>
          </w:p>
          <w:p>
            <w:pPr>
              <w:spacing w:before="75" w:line="227" w:lineRule="auto"/>
              <w:ind w:firstLine="508" w:firstLineChars="200"/>
              <w:rPr>
                <w:rFonts w:ascii="宋体" w:hAnsi="宋体" w:eastAsia="宋体" w:cs="宋体"/>
                <w:spacing w:val="12"/>
                <w:sz w:val="23"/>
                <w:szCs w:val="23"/>
              </w:rPr>
            </w:pPr>
          </w:p>
          <w:p>
            <w:pPr>
              <w:spacing w:before="75" w:line="227" w:lineRule="auto"/>
              <w:ind w:firstLine="1016" w:firstLineChars="400"/>
              <w:rPr>
                <w:rFonts w:ascii="宋体" w:hAnsi="宋体" w:eastAsia="宋体" w:cs="宋体"/>
                <w:spacing w:val="12"/>
                <w:sz w:val="23"/>
                <w:szCs w:val="23"/>
              </w:rPr>
            </w:pPr>
            <w:r>
              <w:rPr>
                <w:rFonts w:ascii="宋体" w:hAnsi="宋体" w:eastAsia="宋体" w:cs="宋体"/>
                <w:spacing w:val="12"/>
                <w:sz w:val="23"/>
                <w:szCs w:val="23"/>
              </w:rPr>
              <w:t>招标文件的发售期少于5日</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法实施条例》第十六条</w:t>
            </w:r>
          </w:p>
        </w:tc>
      </w:tr>
      <w:tr>
        <w:trPr>
          <w:trHeight w:val="857"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标办法》第十五条</w:t>
            </w:r>
          </w:p>
        </w:tc>
      </w:tr>
    </w:tbl>
    <w:p>
      <w:pPr>
        <w:rPr>
          <w:rFonts w:ascii="Arial"/>
          <w:sz w:val="21"/>
        </w:rPr>
      </w:pPr>
    </w:p>
    <w:p>
      <w:pPr>
        <w:sectPr>
          <w:footerReference r:id="rId6" w:type="default"/>
          <w:pgSz w:w="11906" w:h="16839"/>
          <w:pgMar w:top="1431" w:right="1242" w:bottom="1157"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22"/>
        <w:gridCol w:w="3209"/>
      </w:tblGrid>
      <w:tr>
        <w:trPr>
          <w:trHeight w:val="864" w:hRule="atLeast"/>
        </w:trPr>
        <w:tc>
          <w:tcPr>
            <w:tcW w:w="871" w:type="dxa"/>
            <w:vMerge w:val="restart"/>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422" w:type="dxa"/>
            <w:vMerge w:val="restart"/>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标办法》第十四条</w:t>
            </w:r>
          </w:p>
        </w:tc>
      </w:tr>
      <w:tr>
        <w:trPr>
          <w:trHeight w:val="854" w:hRule="atLeast"/>
        </w:trPr>
        <w:tc>
          <w:tcPr>
            <w:tcW w:w="87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42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标投标办法》第十二条</w:t>
            </w:r>
          </w:p>
        </w:tc>
      </w:tr>
      <w:tr>
        <w:trPr>
          <w:trHeight w:val="947" w:hRule="atLeast"/>
        </w:trPr>
        <w:tc>
          <w:tcPr>
            <w:tcW w:w="871" w:type="dxa"/>
            <w:vMerge w:val="restart"/>
            <w:tcBorders>
              <w:top w:val="single" w:color="auto" w:sz="4" w:space="0"/>
              <w:left w:val="single" w:color="auto" w:sz="4" w:space="0"/>
              <w:bottom w:val="single" w:color="auto" w:sz="4" w:space="0"/>
              <w:right w:val="single" w:color="auto" w:sz="4"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66" w:line="194"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3</w:t>
            </w:r>
          </w:p>
        </w:tc>
        <w:tc>
          <w:tcPr>
            <w:tcW w:w="5422" w:type="dxa"/>
            <w:vMerge w:val="restart"/>
            <w:tcBorders>
              <w:top w:val="single" w:color="auto" w:sz="4" w:space="0"/>
              <w:left w:val="single" w:color="auto" w:sz="4" w:space="0"/>
              <w:bottom w:val="single" w:color="auto" w:sz="4" w:space="0"/>
              <w:right w:val="single" w:color="auto" w:sz="4" w:space="0"/>
            </w:tcBorders>
            <w:vAlign w:val="center"/>
          </w:tcPr>
          <w:p>
            <w:pPr>
              <w:spacing w:before="117" w:line="227" w:lineRule="auto"/>
              <w:ind w:firstLine="552" w:firstLineChars="200"/>
              <w:jc w:val="both"/>
              <w:rPr>
                <w:rFonts w:ascii="宋体" w:hAnsi="宋体" w:eastAsia="宋体" w:cs="宋体"/>
                <w:spacing w:val="23"/>
                <w:sz w:val="23"/>
                <w:szCs w:val="23"/>
              </w:rPr>
            </w:pPr>
            <w:r>
              <w:rPr>
                <w:rFonts w:ascii="宋体" w:hAnsi="宋体" w:eastAsia="宋体" w:cs="宋体"/>
                <w:spacing w:val="23"/>
                <w:sz w:val="23"/>
                <w:szCs w:val="23"/>
              </w:rPr>
              <w:t>(1)设定最低限价的 (国家或地方有强制最低价格标准的除外)</w:t>
            </w:r>
          </w:p>
          <w:p>
            <w:pPr>
              <w:spacing w:before="117" w:line="227" w:lineRule="auto"/>
              <w:ind w:firstLine="552" w:firstLineChars="200"/>
              <w:jc w:val="both"/>
              <w:rPr>
                <w:rFonts w:ascii="宋体" w:hAnsi="宋体" w:eastAsia="宋体" w:cs="宋体"/>
                <w:sz w:val="23"/>
                <w:szCs w:val="23"/>
              </w:rPr>
            </w:pPr>
            <w:r>
              <w:rPr>
                <w:rFonts w:ascii="宋体" w:hAnsi="宋体" w:eastAsia="宋体" w:cs="宋体"/>
                <w:spacing w:val="23"/>
                <w:sz w:val="23"/>
                <w:szCs w:val="23"/>
              </w:rPr>
              <w:t>(2)设有最高投标限价的，未在招标文件中明确最高投标限价或者最高投标限价的计算方法</w:t>
            </w:r>
          </w:p>
        </w:tc>
        <w:tc>
          <w:tcPr>
            <w:tcW w:w="3209" w:type="dxa"/>
            <w:tcBorders>
              <w:top w:val="single" w:color="auto" w:sz="4" w:space="0"/>
              <w:left w:val="single" w:color="auto" w:sz="4" w:space="0"/>
              <w:bottom w:val="single" w:color="auto" w:sz="4" w:space="0"/>
              <w:right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法实施条例》第二十七条</w:t>
            </w:r>
          </w:p>
        </w:tc>
      </w:tr>
      <w:tr>
        <w:trPr>
          <w:trHeight w:val="855" w:hRule="atLeast"/>
        </w:trPr>
        <w:tc>
          <w:tcPr>
            <w:tcW w:w="871" w:type="dxa"/>
            <w:vMerge w:val="continue"/>
            <w:tcBorders>
              <w:top w:val="single" w:color="auto" w:sz="4" w:space="0"/>
              <w:left w:val="single" w:color="auto" w:sz="4" w:space="0"/>
            </w:tcBorders>
            <w:vAlign w:val="top"/>
          </w:tcPr>
          <w:p>
            <w:pPr>
              <w:rPr>
                <w:rFonts w:ascii="Arial"/>
                <w:sz w:val="21"/>
              </w:rPr>
            </w:pPr>
          </w:p>
        </w:tc>
        <w:tc>
          <w:tcPr>
            <w:tcW w:w="5422" w:type="dxa"/>
            <w:vMerge w:val="continue"/>
            <w:tcBorders>
              <w:top w:val="single" w:color="auto" w:sz="4" w:space="0"/>
            </w:tcBorders>
            <w:vAlign w:val="center"/>
          </w:tcPr>
          <w:p>
            <w:pPr>
              <w:jc w:val="center"/>
              <w:rPr>
                <w:rFonts w:ascii="Arial"/>
                <w:sz w:val="21"/>
              </w:rPr>
            </w:pPr>
          </w:p>
        </w:tc>
        <w:tc>
          <w:tcPr>
            <w:tcW w:w="3209" w:type="dxa"/>
            <w:tcBorders>
              <w:top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标办法》第三十四条</w:t>
            </w:r>
          </w:p>
        </w:tc>
      </w:tr>
      <w:tr>
        <w:trPr>
          <w:trHeight w:val="855" w:hRule="atLeast"/>
        </w:trPr>
        <w:tc>
          <w:tcPr>
            <w:tcW w:w="871" w:type="dxa"/>
            <w:vAlign w:val="top"/>
          </w:tcPr>
          <w:p>
            <w:pPr>
              <w:spacing w:line="312" w:lineRule="auto"/>
              <w:rPr>
                <w:rFonts w:ascii="Arial"/>
                <w:sz w:val="21"/>
              </w:rPr>
            </w:pPr>
          </w:p>
          <w:p>
            <w:pPr>
              <w:spacing w:before="67" w:line="195"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4</w:t>
            </w:r>
          </w:p>
        </w:tc>
        <w:tc>
          <w:tcPr>
            <w:tcW w:w="5422" w:type="dxa"/>
            <w:vAlign w:val="top"/>
          </w:tcPr>
          <w:p>
            <w:pPr>
              <w:spacing w:before="117" w:line="227" w:lineRule="auto"/>
              <w:ind w:firstLine="552" w:firstLineChars="200"/>
              <w:rPr>
                <w:rFonts w:ascii="宋体" w:hAnsi="宋体" w:eastAsia="宋体" w:cs="宋体"/>
                <w:sz w:val="23"/>
                <w:szCs w:val="23"/>
              </w:rPr>
            </w:pPr>
            <w:r>
              <w:rPr>
                <w:rFonts w:ascii="宋体" w:hAnsi="宋体" w:eastAsia="宋体" w:cs="宋体"/>
                <w:spacing w:val="23"/>
                <w:sz w:val="23"/>
                <w:szCs w:val="23"/>
              </w:rPr>
              <w:t>国家对招标项目的技术、标准有规定的，未按照其规定在招标文件中提出相应要求</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法》第十九条</w:t>
            </w:r>
          </w:p>
        </w:tc>
      </w:tr>
      <w:tr>
        <w:trPr>
          <w:trHeight w:val="855" w:hRule="atLeast"/>
        </w:trPr>
        <w:tc>
          <w:tcPr>
            <w:tcW w:w="871"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6" w:line="194"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5</w:t>
            </w:r>
          </w:p>
        </w:tc>
        <w:tc>
          <w:tcPr>
            <w:tcW w:w="5422"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75" w:line="227" w:lineRule="auto"/>
              <w:ind w:firstLine="508" w:firstLineChars="200"/>
              <w:rPr>
                <w:rFonts w:ascii="宋体" w:hAnsi="宋体" w:eastAsia="宋体" w:cs="宋体"/>
                <w:sz w:val="23"/>
                <w:szCs w:val="23"/>
              </w:rPr>
            </w:pPr>
            <w:r>
              <w:rPr>
                <w:rFonts w:ascii="宋体" w:hAnsi="宋体" w:eastAsia="宋体" w:cs="宋体"/>
                <w:spacing w:val="12"/>
                <w:sz w:val="23"/>
                <w:szCs w:val="23"/>
              </w:rPr>
              <w:t>在</w:t>
            </w:r>
            <w:r>
              <w:rPr>
                <w:rFonts w:ascii="宋体" w:hAnsi="宋体" w:eastAsia="宋体" w:cs="宋体"/>
                <w:spacing w:val="7"/>
                <w:sz w:val="23"/>
                <w:szCs w:val="23"/>
              </w:rPr>
              <w:t>招</w:t>
            </w:r>
            <w:r>
              <w:rPr>
                <w:rFonts w:ascii="宋体" w:hAnsi="宋体" w:eastAsia="宋体" w:cs="宋体"/>
                <w:spacing w:val="6"/>
                <w:sz w:val="23"/>
                <w:szCs w:val="23"/>
              </w:rPr>
              <w:t>标文件中未规定实质性要求和条件，未说明不</w:t>
            </w:r>
            <w:r>
              <w:rPr>
                <w:rFonts w:ascii="宋体" w:hAnsi="宋体" w:eastAsia="宋体" w:cs="宋体"/>
                <w:spacing w:val="18"/>
                <w:sz w:val="23"/>
                <w:szCs w:val="23"/>
              </w:rPr>
              <w:t>满</w:t>
            </w:r>
            <w:r>
              <w:rPr>
                <w:rFonts w:ascii="宋体" w:hAnsi="宋体" w:eastAsia="宋体" w:cs="宋体"/>
                <w:spacing w:val="11"/>
                <w:sz w:val="23"/>
                <w:szCs w:val="23"/>
              </w:rPr>
              <w:t>足</w:t>
            </w:r>
            <w:r>
              <w:rPr>
                <w:rFonts w:ascii="宋体" w:hAnsi="宋体" w:eastAsia="宋体" w:cs="宋体"/>
                <w:spacing w:val="9"/>
                <w:sz w:val="23"/>
                <w:szCs w:val="23"/>
              </w:rPr>
              <w:t>其中任何一项实质性要求和条件的投标将被</w:t>
            </w:r>
            <w:r>
              <w:rPr>
                <w:rFonts w:ascii="宋体" w:hAnsi="宋体" w:eastAsia="宋体" w:cs="宋体"/>
                <w:spacing w:val="12"/>
                <w:sz w:val="23"/>
                <w:szCs w:val="23"/>
              </w:rPr>
              <w:t>拒</w:t>
            </w:r>
            <w:r>
              <w:rPr>
                <w:rFonts w:ascii="宋体" w:hAnsi="宋体" w:eastAsia="宋体" w:cs="宋体"/>
                <w:spacing w:val="9"/>
                <w:sz w:val="23"/>
                <w:szCs w:val="23"/>
              </w:rPr>
              <w:t>绝，未用醒目的方式标明</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法》第二十条</w:t>
            </w:r>
          </w:p>
        </w:tc>
      </w:tr>
      <w:tr>
        <w:trPr>
          <w:trHeight w:val="1204"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 标办法》第二十四条、第三</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十六条</w:t>
            </w:r>
          </w:p>
        </w:tc>
      </w:tr>
      <w:tr>
        <w:trPr>
          <w:trHeight w:val="855"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标办法》第二十一条</w:t>
            </w:r>
          </w:p>
        </w:tc>
      </w:tr>
      <w:tr>
        <w:trPr>
          <w:trHeight w:val="1180" w:hRule="atLeast"/>
        </w:trPr>
        <w:tc>
          <w:tcPr>
            <w:tcW w:w="87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6" w:line="194"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6</w:t>
            </w:r>
          </w:p>
        </w:tc>
        <w:tc>
          <w:tcPr>
            <w:tcW w:w="5422" w:type="dxa"/>
            <w:vMerge w:val="restart"/>
            <w:tcBorders>
              <w:bottom w:val="nil"/>
            </w:tcBorders>
            <w:vAlign w:val="top"/>
          </w:tcPr>
          <w:p>
            <w:pPr>
              <w:spacing w:before="117" w:line="227" w:lineRule="auto"/>
              <w:ind w:firstLine="552" w:firstLineChars="200"/>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1</w:t>
            </w:r>
            <w:r>
              <w:rPr>
                <w:rFonts w:ascii="宋体" w:hAnsi="宋体" w:eastAsia="宋体" w:cs="宋体"/>
                <w:spacing w:val="13"/>
                <w:sz w:val="23"/>
                <w:szCs w:val="23"/>
              </w:rPr>
              <w:t>)招标文件中规定的各项技术标准，要求或标</w:t>
            </w:r>
            <w:r>
              <w:rPr>
                <w:rFonts w:ascii="宋体" w:hAnsi="宋体" w:eastAsia="宋体" w:cs="宋体"/>
                <w:spacing w:val="10"/>
                <w:sz w:val="23"/>
                <w:szCs w:val="23"/>
              </w:rPr>
              <w:t>明</w:t>
            </w:r>
            <w:r>
              <w:rPr>
                <w:rFonts w:ascii="宋体" w:hAnsi="宋体" w:eastAsia="宋体" w:cs="宋体"/>
                <w:spacing w:val="6"/>
                <w:sz w:val="23"/>
                <w:szCs w:val="23"/>
              </w:rPr>
              <w:t>某</w:t>
            </w:r>
            <w:r>
              <w:rPr>
                <w:rFonts w:ascii="宋体" w:hAnsi="宋体" w:eastAsia="宋体" w:cs="宋体"/>
                <w:spacing w:val="5"/>
                <w:sz w:val="23"/>
                <w:szCs w:val="23"/>
              </w:rPr>
              <w:t>一特定的专利、商标、名称、设计、原产地或</w:t>
            </w:r>
            <w:r>
              <w:rPr>
                <w:rFonts w:ascii="宋体" w:hAnsi="宋体" w:eastAsia="宋体" w:cs="宋体"/>
                <w:spacing w:val="10"/>
                <w:sz w:val="23"/>
                <w:szCs w:val="23"/>
              </w:rPr>
              <w:t>生</w:t>
            </w:r>
            <w:r>
              <w:rPr>
                <w:rFonts w:ascii="宋体" w:hAnsi="宋体" w:eastAsia="宋体" w:cs="宋体"/>
                <w:spacing w:val="6"/>
                <w:sz w:val="23"/>
                <w:szCs w:val="23"/>
              </w:rPr>
              <w:t>产供应者，含有倾向或者排斥潜在投标人的其他</w:t>
            </w:r>
            <w:r>
              <w:rPr>
                <w:rFonts w:ascii="宋体" w:hAnsi="宋体" w:eastAsia="宋体" w:cs="宋体"/>
                <w:spacing w:val="-10"/>
                <w:sz w:val="23"/>
                <w:szCs w:val="23"/>
              </w:rPr>
              <w:t>内</w:t>
            </w:r>
            <w:r>
              <w:rPr>
                <w:rFonts w:ascii="宋体" w:hAnsi="宋体" w:eastAsia="宋体" w:cs="宋体"/>
                <w:spacing w:val="-9"/>
                <w:sz w:val="23"/>
                <w:szCs w:val="23"/>
              </w:rPr>
              <w:t>容</w:t>
            </w:r>
          </w:p>
          <w:p>
            <w:pPr>
              <w:spacing w:before="118" w:line="228" w:lineRule="auto"/>
              <w:ind w:firstLine="552" w:firstLineChars="200"/>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2</w:t>
            </w:r>
            <w:r>
              <w:rPr>
                <w:rFonts w:ascii="宋体" w:hAnsi="宋体" w:eastAsia="宋体" w:cs="宋体"/>
                <w:spacing w:val="13"/>
                <w:sz w:val="23"/>
                <w:szCs w:val="23"/>
              </w:rPr>
              <w:t>)对于必须引用某一生产供应者的技术标准才</w:t>
            </w:r>
            <w:r>
              <w:rPr>
                <w:rFonts w:ascii="宋体" w:hAnsi="宋体" w:eastAsia="宋体" w:cs="宋体"/>
                <w:spacing w:val="6"/>
                <w:sz w:val="23"/>
                <w:szCs w:val="23"/>
              </w:rPr>
              <w:t>能准确或清楚地说明拟招标项目的技术标准时，未</w:t>
            </w:r>
            <w:r>
              <w:rPr>
                <w:rFonts w:ascii="宋体" w:hAnsi="宋体" w:eastAsia="宋体" w:cs="宋体"/>
                <w:spacing w:val="9"/>
                <w:sz w:val="23"/>
                <w:szCs w:val="23"/>
              </w:rPr>
              <w:t>在参照后面加上</w:t>
            </w:r>
            <w:r>
              <w:rPr>
                <w:rFonts w:ascii="Times New Roman" w:hAnsi="Times New Roman" w:eastAsia="Times New Roman" w:cs="Times New Roman"/>
                <w:spacing w:val="9"/>
                <w:sz w:val="23"/>
                <w:szCs w:val="23"/>
              </w:rPr>
              <w:t>“</w:t>
            </w:r>
            <w:r>
              <w:rPr>
                <w:rFonts w:ascii="宋体" w:hAnsi="宋体" w:eastAsia="宋体" w:cs="宋体"/>
                <w:spacing w:val="9"/>
                <w:sz w:val="23"/>
                <w:szCs w:val="23"/>
              </w:rPr>
              <w:t>或相当于</w:t>
            </w:r>
            <w:r>
              <w:rPr>
                <w:rFonts w:ascii="Times New Roman" w:hAnsi="Times New Roman" w:eastAsia="Times New Roman" w:cs="Times New Roman"/>
                <w:spacing w:val="9"/>
                <w:sz w:val="23"/>
                <w:szCs w:val="23"/>
              </w:rPr>
              <w:t>”</w:t>
            </w:r>
            <w:r>
              <w:rPr>
                <w:rFonts w:ascii="宋体" w:hAnsi="宋体" w:eastAsia="宋体" w:cs="宋体"/>
                <w:spacing w:val="9"/>
                <w:sz w:val="23"/>
                <w:szCs w:val="23"/>
              </w:rPr>
              <w:t>的字</w:t>
            </w:r>
            <w:r>
              <w:rPr>
                <w:rFonts w:ascii="宋体" w:hAnsi="宋体" w:eastAsia="宋体" w:cs="宋体"/>
                <w:spacing w:val="6"/>
                <w:sz w:val="23"/>
                <w:szCs w:val="23"/>
              </w:rPr>
              <w:t>样</w:t>
            </w: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 标办法》第二十六条</w:t>
            </w:r>
          </w:p>
        </w:tc>
      </w:tr>
      <w:tr>
        <w:trPr>
          <w:trHeight w:val="1279"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 标办法》第二十五条</w:t>
            </w:r>
          </w:p>
        </w:tc>
      </w:tr>
      <w:tr>
        <w:trPr>
          <w:trHeight w:val="854" w:hRule="atLeast"/>
        </w:trPr>
        <w:tc>
          <w:tcPr>
            <w:tcW w:w="871"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66" w:line="195"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7</w:t>
            </w:r>
          </w:p>
        </w:tc>
        <w:tc>
          <w:tcPr>
            <w:tcW w:w="5422" w:type="dxa"/>
            <w:vMerge w:val="restart"/>
            <w:tcBorders>
              <w:bottom w:val="nil"/>
            </w:tcBorders>
            <w:vAlign w:val="top"/>
          </w:tcPr>
          <w:p>
            <w:pPr>
              <w:spacing w:line="340" w:lineRule="auto"/>
              <w:rPr>
                <w:rFonts w:ascii="Arial"/>
                <w:sz w:val="21"/>
              </w:rPr>
            </w:pPr>
          </w:p>
          <w:p>
            <w:pPr>
              <w:spacing w:line="340" w:lineRule="auto"/>
              <w:rPr>
                <w:rFonts w:ascii="Arial"/>
                <w:sz w:val="21"/>
              </w:rPr>
            </w:pPr>
          </w:p>
          <w:p>
            <w:pPr>
              <w:spacing w:before="75" w:line="323" w:lineRule="exact"/>
              <w:ind w:firstLine="472" w:firstLineChars="200"/>
              <w:rPr>
                <w:rFonts w:ascii="宋体" w:hAnsi="宋体" w:eastAsia="宋体" w:cs="宋体"/>
                <w:sz w:val="23"/>
                <w:szCs w:val="23"/>
              </w:rPr>
            </w:pPr>
            <w:r>
              <w:rPr>
                <w:rFonts w:ascii="宋体" w:hAnsi="宋体" w:eastAsia="宋体" w:cs="宋体"/>
                <w:spacing w:val="3"/>
                <w:position w:val="1"/>
                <w:sz w:val="23"/>
                <w:szCs w:val="23"/>
              </w:rPr>
              <w:t>招标项目需要划分标段</w:t>
            </w:r>
            <w:r>
              <w:rPr>
                <w:rFonts w:ascii="Times New Roman" w:hAnsi="Times New Roman" w:eastAsia="Times New Roman" w:cs="Times New Roman"/>
                <w:spacing w:val="3"/>
                <w:position w:val="1"/>
                <w:sz w:val="23"/>
                <w:szCs w:val="23"/>
              </w:rPr>
              <w:t>/</w:t>
            </w:r>
            <w:r>
              <w:rPr>
                <w:rFonts w:ascii="宋体" w:hAnsi="宋体" w:eastAsia="宋体" w:cs="宋体"/>
                <w:spacing w:val="3"/>
                <w:position w:val="1"/>
                <w:sz w:val="23"/>
                <w:szCs w:val="23"/>
              </w:rPr>
              <w:t>标包、确定工期</w:t>
            </w:r>
            <w:r>
              <w:rPr>
                <w:rFonts w:ascii="Times New Roman" w:hAnsi="Times New Roman" w:eastAsia="Times New Roman" w:cs="Times New Roman"/>
                <w:spacing w:val="3"/>
                <w:position w:val="1"/>
                <w:sz w:val="23"/>
                <w:szCs w:val="23"/>
              </w:rPr>
              <w:t>/</w:t>
            </w:r>
            <w:r>
              <w:rPr>
                <w:rFonts w:ascii="宋体" w:hAnsi="宋体" w:eastAsia="宋体" w:cs="宋体"/>
                <w:spacing w:val="3"/>
                <w:position w:val="1"/>
                <w:sz w:val="23"/>
                <w:szCs w:val="23"/>
              </w:rPr>
              <w:t>供货期的</w:t>
            </w:r>
            <w:r>
              <w:rPr>
                <w:rFonts w:ascii="宋体" w:hAnsi="宋体" w:eastAsia="宋体" w:cs="宋体"/>
                <w:spacing w:val="2"/>
                <w:position w:val="1"/>
                <w:sz w:val="23"/>
                <w:szCs w:val="23"/>
              </w:rPr>
              <w:t>，</w:t>
            </w:r>
            <w:r>
              <w:rPr>
                <w:rFonts w:ascii="宋体" w:hAnsi="宋体" w:eastAsia="宋体" w:cs="宋体"/>
                <w:spacing w:val="9"/>
                <w:position w:val="1"/>
                <w:sz w:val="23"/>
                <w:szCs w:val="23"/>
              </w:rPr>
              <w:t>未合理划分标段</w:t>
            </w:r>
            <w:r>
              <w:rPr>
                <w:rFonts w:ascii="Times New Roman" w:hAnsi="Times New Roman" w:eastAsia="Times New Roman" w:cs="Times New Roman"/>
                <w:spacing w:val="9"/>
                <w:position w:val="1"/>
                <w:sz w:val="23"/>
                <w:szCs w:val="23"/>
              </w:rPr>
              <w:t>/</w:t>
            </w:r>
            <w:r>
              <w:rPr>
                <w:rFonts w:ascii="宋体" w:hAnsi="宋体" w:eastAsia="宋体" w:cs="宋体"/>
                <w:spacing w:val="9"/>
                <w:position w:val="1"/>
                <w:sz w:val="23"/>
                <w:szCs w:val="23"/>
              </w:rPr>
              <w:t>标包、确定工期</w:t>
            </w:r>
            <w:r>
              <w:rPr>
                <w:rFonts w:ascii="Times New Roman" w:hAnsi="Times New Roman" w:eastAsia="Times New Roman" w:cs="Times New Roman"/>
                <w:spacing w:val="9"/>
                <w:position w:val="1"/>
                <w:sz w:val="23"/>
                <w:szCs w:val="23"/>
              </w:rPr>
              <w:t>/</w:t>
            </w:r>
            <w:r>
              <w:rPr>
                <w:rFonts w:ascii="宋体" w:hAnsi="宋体" w:eastAsia="宋体" w:cs="宋体"/>
                <w:spacing w:val="9"/>
                <w:position w:val="1"/>
                <w:sz w:val="23"/>
                <w:szCs w:val="23"/>
              </w:rPr>
              <w:t>供货期的，或</w:t>
            </w:r>
            <w:r>
              <w:rPr>
                <w:rFonts w:ascii="宋体" w:hAnsi="宋体" w:eastAsia="宋体" w:cs="宋体"/>
                <w:spacing w:val="5"/>
                <w:position w:val="1"/>
                <w:sz w:val="23"/>
                <w:szCs w:val="23"/>
              </w:rPr>
              <w:t>未</w:t>
            </w:r>
            <w:r>
              <w:rPr>
                <w:rFonts w:ascii="宋体" w:hAnsi="宋体" w:eastAsia="宋体" w:cs="宋体"/>
                <w:spacing w:val="9"/>
                <w:sz w:val="23"/>
                <w:szCs w:val="23"/>
              </w:rPr>
              <w:t>在招标文件中载</w:t>
            </w:r>
            <w:r>
              <w:rPr>
                <w:rFonts w:ascii="宋体" w:hAnsi="宋体" w:eastAsia="宋体" w:cs="宋体"/>
                <w:spacing w:val="8"/>
                <w:sz w:val="23"/>
                <w:szCs w:val="23"/>
              </w:rPr>
              <w:t>明</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法》第十九条</w:t>
            </w:r>
          </w:p>
        </w:tc>
      </w:tr>
      <w:tr>
        <w:trPr>
          <w:trHeight w:val="85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法实施条例》第二十四条</w:t>
            </w:r>
          </w:p>
        </w:tc>
      </w:tr>
      <w:tr>
        <w:trPr>
          <w:trHeight w:val="857"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标办法》第二十七条</w:t>
            </w:r>
          </w:p>
        </w:tc>
      </w:tr>
    </w:tbl>
    <w:p>
      <w:pPr>
        <w:rPr>
          <w:rFonts w:ascii="Arial"/>
          <w:sz w:val="21"/>
        </w:rPr>
      </w:pPr>
    </w:p>
    <w:p>
      <w:pPr>
        <w:sectPr>
          <w:footerReference r:id="rId7" w:type="default"/>
          <w:pgSz w:w="11906" w:h="16839"/>
          <w:pgMar w:top="1431" w:right="1242" w:bottom="1156" w:left="1156" w:header="0" w:footer="994" w:gutter="0"/>
          <w:cols w:space="720" w:num="1"/>
        </w:sectPr>
      </w:pPr>
    </w:p>
    <w:p/>
    <w:p/>
    <w:p>
      <w:pPr>
        <w:spacing w:line="183" w:lineRule="exact"/>
      </w:pPr>
    </w:p>
    <w:tbl>
      <w:tblPr>
        <w:tblW w:w="950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5422"/>
        <w:gridCol w:w="3209"/>
      </w:tblGrid>
      <w:tr>
        <w:trPr>
          <w:trHeight w:val="864" w:hRule="atLeast"/>
        </w:trPr>
        <w:tc>
          <w:tcPr>
            <w:tcW w:w="871" w:type="dxa"/>
            <w:vAlign w:val="top"/>
          </w:tcPr>
          <w:p>
            <w:pPr>
              <w:rPr>
                <w:rFonts w:ascii="Arial"/>
                <w:sz w:val="21"/>
              </w:rPr>
            </w:pPr>
          </w:p>
        </w:tc>
        <w:tc>
          <w:tcPr>
            <w:tcW w:w="5422" w:type="dxa"/>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标办法》第二十二条</w:t>
            </w:r>
          </w:p>
        </w:tc>
      </w:tr>
      <w:tr>
        <w:trPr>
          <w:trHeight w:val="978" w:hRule="atLeast"/>
        </w:trPr>
        <w:tc>
          <w:tcPr>
            <w:tcW w:w="871" w:type="dxa"/>
            <w:vMerge w:val="restart"/>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6" w:line="194"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8</w:t>
            </w:r>
          </w:p>
        </w:tc>
        <w:tc>
          <w:tcPr>
            <w:tcW w:w="5422" w:type="dxa"/>
            <w:vMerge w:val="restart"/>
            <w:vAlign w:val="top"/>
          </w:tcPr>
          <w:p>
            <w:pPr>
              <w:spacing w:before="171" w:line="227" w:lineRule="auto"/>
              <w:ind w:firstLine="552" w:firstLineChars="200"/>
              <w:rPr>
                <w:rFonts w:ascii="宋体" w:hAnsi="宋体" w:eastAsia="宋体" w:cs="宋体"/>
                <w:sz w:val="23"/>
                <w:szCs w:val="23"/>
              </w:rPr>
            </w:pPr>
            <w:r>
              <w:rPr>
                <w:rFonts w:ascii="宋体" w:hAnsi="宋体" w:eastAsia="宋体" w:cs="宋体"/>
                <w:spacing w:val="23"/>
                <w:sz w:val="23"/>
                <w:szCs w:val="23"/>
              </w:rPr>
              <w:t>对已发出的招标文件进行必要的澄清或者修改，且澄清或者修改的内容可能影响投标文件编制的，未在招标文件要求提交投标文件截止时间至少十五日前，以书面形式通知所有招标文件收受人</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法》第二十三条</w:t>
            </w:r>
          </w:p>
        </w:tc>
      </w:tr>
      <w:tr>
        <w:trPr>
          <w:trHeight w:val="916"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法实施条例》第二十一条</w:t>
            </w:r>
          </w:p>
        </w:tc>
      </w:tr>
      <w:tr>
        <w:trPr>
          <w:trHeight w:val="994" w:hRule="atLeast"/>
        </w:trPr>
        <w:tc>
          <w:tcPr>
            <w:tcW w:w="871" w:type="dxa"/>
            <w:vMerge w:val="restart"/>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6" w:line="195" w:lineRule="auto"/>
              <w:ind w:left="34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9</w:t>
            </w:r>
          </w:p>
        </w:tc>
        <w:tc>
          <w:tcPr>
            <w:tcW w:w="5422" w:type="dxa"/>
            <w:vMerge w:val="restart"/>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75" w:line="289" w:lineRule="auto"/>
              <w:ind w:right="129" w:firstLine="552" w:firstLineChars="200"/>
              <w:rPr>
                <w:rFonts w:ascii="Times New Roman" w:hAnsi="Times New Roman" w:eastAsia="Times New Roman" w:cs="Times New Roman"/>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1</w:t>
            </w:r>
            <w:r>
              <w:rPr>
                <w:rFonts w:ascii="宋体" w:hAnsi="宋体" w:eastAsia="宋体" w:cs="宋体"/>
                <w:spacing w:val="13"/>
                <w:sz w:val="23"/>
                <w:szCs w:val="23"/>
              </w:rPr>
              <w:t>)在施工、货物项目招标文件中要求投标人提</w:t>
            </w:r>
            <w:r>
              <w:rPr>
                <w:rFonts w:ascii="宋体" w:hAnsi="宋体" w:eastAsia="宋体" w:cs="宋体"/>
                <w:spacing w:val="10"/>
                <w:sz w:val="23"/>
                <w:szCs w:val="23"/>
              </w:rPr>
              <w:t>交</w:t>
            </w:r>
            <w:r>
              <w:rPr>
                <w:rFonts w:ascii="宋体" w:hAnsi="宋体" w:eastAsia="宋体" w:cs="宋体"/>
                <w:spacing w:val="9"/>
                <w:sz w:val="23"/>
                <w:szCs w:val="23"/>
              </w:rPr>
              <w:t>投</w:t>
            </w:r>
            <w:r>
              <w:rPr>
                <w:rFonts w:ascii="宋体" w:hAnsi="宋体" w:eastAsia="宋体" w:cs="宋体"/>
                <w:spacing w:val="5"/>
                <w:sz w:val="23"/>
                <w:szCs w:val="23"/>
              </w:rPr>
              <w:t xml:space="preserve">标保证金超过招标项目估算价的 </w:t>
            </w:r>
            <w:r>
              <w:rPr>
                <w:rFonts w:ascii="Times New Roman" w:hAnsi="Times New Roman" w:eastAsia="Times New Roman" w:cs="Times New Roman"/>
                <w:spacing w:val="5"/>
                <w:sz w:val="23"/>
                <w:szCs w:val="23"/>
              </w:rPr>
              <w:t>2%</w:t>
            </w:r>
          </w:p>
          <w:p>
            <w:pPr>
              <w:spacing w:before="79" w:line="227" w:lineRule="auto"/>
              <w:ind w:firstLine="544" w:firstLineChars="200"/>
              <w:rPr>
                <w:rFonts w:ascii="宋体" w:hAnsi="宋体" w:eastAsia="宋体" w:cs="宋体"/>
                <w:sz w:val="23"/>
                <w:szCs w:val="23"/>
              </w:rPr>
            </w:pPr>
            <w:r>
              <w:rPr>
                <w:rFonts w:ascii="宋体" w:hAnsi="宋体" w:eastAsia="宋体" w:cs="宋体"/>
                <w:spacing w:val="21"/>
                <w:sz w:val="23"/>
                <w:szCs w:val="23"/>
              </w:rPr>
              <w:t>(</w:t>
            </w:r>
            <w:r>
              <w:rPr>
                <w:rFonts w:ascii="Times New Roman" w:hAnsi="Times New Roman" w:eastAsia="Times New Roman" w:cs="Times New Roman"/>
                <w:spacing w:val="14"/>
                <w:sz w:val="23"/>
                <w:szCs w:val="23"/>
              </w:rPr>
              <w:t>2</w:t>
            </w:r>
            <w:r>
              <w:rPr>
                <w:rFonts w:ascii="宋体" w:hAnsi="宋体" w:eastAsia="宋体" w:cs="宋体"/>
                <w:spacing w:val="14"/>
                <w:sz w:val="23"/>
                <w:szCs w:val="23"/>
              </w:rPr>
              <w:t>)在勘察设计项目招标文件中要求投标人</w:t>
            </w:r>
            <w:r>
              <w:rPr>
                <w:rFonts w:ascii="宋体" w:hAnsi="宋体" w:eastAsia="宋体" w:cs="宋体"/>
                <w:spacing w:val="12"/>
                <w:position w:val="1"/>
                <w:sz w:val="23"/>
                <w:szCs w:val="23"/>
              </w:rPr>
              <w:t>提</w:t>
            </w:r>
            <w:r>
              <w:rPr>
                <w:rFonts w:ascii="宋体" w:hAnsi="宋体" w:eastAsia="宋体" w:cs="宋体"/>
                <w:spacing w:val="9"/>
                <w:position w:val="1"/>
                <w:sz w:val="23"/>
                <w:szCs w:val="23"/>
              </w:rPr>
              <w:t>交</w:t>
            </w:r>
            <w:r>
              <w:rPr>
                <w:rFonts w:ascii="宋体" w:hAnsi="宋体" w:eastAsia="宋体" w:cs="宋体"/>
                <w:spacing w:val="6"/>
                <w:position w:val="1"/>
                <w:sz w:val="23"/>
                <w:szCs w:val="23"/>
              </w:rPr>
              <w:t xml:space="preserve">投标保证金超过招标项目估算价的 </w:t>
            </w:r>
            <w:r>
              <w:rPr>
                <w:rFonts w:ascii="Times New Roman" w:hAnsi="Times New Roman" w:eastAsia="Times New Roman" w:cs="Times New Roman"/>
                <w:spacing w:val="6"/>
                <w:position w:val="1"/>
                <w:sz w:val="23"/>
                <w:szCs w:val="23"/>
              </w:rPr>
              <w:t>2%</w:t>
            </w:r>
            <w:r>
              <w:rPr>
                <w:rFonts w:ascii="宋体" w:hAnsi="宋体" w:eastAsia="宋体" w:cs="宋体"/>
                <w:spacing w:val="6"/>
                <w:position w:val="1"/>
                <w:sz w:val="23"/>
                <w:szCs w:val="23"/>
              </w:rPr>
              <w:t>或超过</w:t>
            </w:r>
            <w:r>
              <w:rPr>
                <w:rFonts w:ascii="Times New Roman" w:hAnsi="Times New Roman" w:eastAsia="Times New Roman" w:cs="Times New Roman"/>
                <w:spacing w:val="1"/>
                <w:sz w:val="23"/>
                <w:szCs w:val="23"/>
              </w:rPr>
              <w:t xml:space="preserve">10 </w:t>
            </w:r>
            <w:r>
              <w:rPr>
                <w:rFonts w:ascii="宋体" w:hAnsi="宋体" w:eastAsia="宋体" w:cs="宋体"/>
                <w:spacing w:val="1"/>
                <w:sz w:val="23"/>
                <w:szCs w:val="23"/>
              </w:rPr>
              <w:t>万</w:t>
            </w:r>
            <w:r>
              <w:rPr>
                <w:rFonts w:ascii="宋体" w:hAnsi="宋体" w:eastAsia="宋体" w:cs="宋体"/>
                <w:sz w:val="23"/>
                <w:szCs w:val="23"/>
              </w:rPr>
              <w:t>元</w:t>
            </w:r>
          </w:p>
          <w:p>
            <w:pPr>
              <w:spacing w:before="114" w:line="228" w:lineRule="auto"/>
              <w:ind w:firstLine="552" w:firstLineChars="200"/>
              <w:rPr>
                <w:rFonts w:ascii="宋体" w:hAnsi="宋体" w:eastAsia="宋体" w:cs="宋体"/>
                <w:sz w:val="23"/>
                <w:szCs w:val="23"/>
              </w:rPr>
            </w:pPr>
            <w:r>
              <w:rPr>
                <w:rFonts w:ascii="宋体" w:hAnsi="宋体" w:eastAsia="宋体" w:cs="宋体"/>
                <w:spacing w:val="23"/>
                <w:sz w:val="23"/>
                <w:szCs w:val="23"/>
              </w:rPr>
              <w:t>(</w:t>
            </w:r>
            <w:r>
              <w:rPr>
                <w:rFonts w:ascii="Times New Roman" w:hAnsi="Times New Roman" w:eastAsia="Times New Roman" w:cs="Times New Roman"/>
                <w:spacing w:val="13"/>
                <w:sz w:val="23"/>
                <w:szCs w:val="23"/>
              </w:rPr>
              <w:t>3</w:t>
            </w:r>
            <w:r>
              <w:rPr>
                <w:rFonts w:ascii="宋体" w:hAnsi="宋体" w:eastAsia="宋体" w:cs="宋体"/>
                <w:spacing w:val="13"/>
                <w:sz w:val="23"/>
                <w:szCs w:val="23"/>
              </w:rPr>
              <w:t>)限定投标保证金、履约保证金只能以现金等</w:t>
            </w:r>
            <w:r>
              <w:rPr>
                <w:rFonts w:ascii="宋体" w:hAnsi="宋体" w:eastAsia="宋体" w:cs="宋体"/>
                <w:spacing w:val="12"/>
                <w:sz w:val="23"/>
                <w:szCs w:val="23"/>
              </w:rPr>
              <w:t>特</w:t>
            </w:r>
            <w:r>
              <w:rPr>
                <w:rFonts w:ascii="宋体" w:hAnsi="宋体" w:eastAsia="宋体" w:cs="宋体"/>
                <w:spacing w:val="6"/>
                <w:sz w:val="23"/>
                <w:szCs w:val="23"/>
              </w:rPr>
              <w:t>定形式提交，或者不按规定或者合同约定退还保</w:t>
            </w:r>
            <w:r>
              <w:rPr>
                <w:rFonts w:ascii="宋体" w:hAnsi="宋体" w:eastAsia="宋体" w:cs="宋体"/>
                <w:spacing w:val="5"/>
                <w:sz w:val="23"/>
                <w:szCs w:val="23"/>
              </w:rPr>
              <w:t>证金</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法实施条例》第二十六条</w:t>
            </w:r>
          </w:p>
        </w:tc>
      </w:tr>
      <w:tr>
        <w:trPr>
          <w:trHeight w:val="983"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标办法》第三十七条</w:t>
            </w:r>
          </w:p>
        </w:tc>
      </w:tr>
      <w:tr>
        <w:trPr>
          <w:trHeight w:val="968"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 标办法》第二十七条</w:t>
            </w:r>
          </w:p>
        </w:tc>
      </w:tr>
      <w:tr>
        <w:trPr>
          <w:trHeight w:val="968"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标投标办法》第二十四条</w:t>
            </w:r>
          </w:p>
        </w:tc>
      </w:tr>
      <w:tr>
        <w:trPr>
          <w:trHeight w:val="2004"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《关于印发工程项目招投标 领域营商环境专项整治工作 方案的通知》  (发改办法规〔2019〕862 号)附件第二“整治范围和内容”</w:t>
            </w:r>
          </w:p>
        </w:tc>
      </w:tr>
      <w:tr>
        <w:trPr>
          <w:trHeight w:val="854" w:hRule="atLeast"/>
        </w:trPr>
        <w:tc>
          <w:tcPr>
            <w:tcW w:w="871" w:type="dxa"/>
            <w:vMerge w:val="restart"/>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6" w:line="194"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20</w:t>
            </w:r>
          </w:p>
        </w:tc>
        <w:tc>
          <w:tcPr>
            <w:tcW w:w="5422" w:type="dxa"/>
            <w:vMerge w:val="restart"/>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7" w:lineRule="auto"/>
              <w:ind w:firstLine="500" w:firstLineChars="200"/>
              <w:rPr>
                <w:rFonts w:ascii="宋体" w:hAnsi="宋体" w:eastAsia="宋体" w:cs="宋体"/>
                <w:sz w:val="23"/>
                <w:szCs w:val="23"/>
              </w:rPr>
            </w:pPr>
            <w:r>
              <w:rPr>
                <w:rFonts w:ascii="宋体" w:hAnsi="宋体" w:eastAsia="宋体" w:cs="宋体"/>
                <w:spacing w:val="10"/>
                <w:sz w:val="23"/>
                <w:szCs w:val="23"/>
              </w:rPr>
              <w:t>依</w:t>
            </w:r>
            <w:r>
              <w:rPr>
                <w:rFonts w:ascii="宋体" w:hAnsi="宋体" w:eastAsia="宋体" w:cs="宋体"/>
                <w:spacing w:val="6"/>
                <w:sz w:val="23"/>
                <w:szCs w:val="23"/>
              </w:rPr>
              <w:t>法必须进行招标的项目，自招标文件开始发出之</w:t>
            </w:r>
            <w:r>
              <w:rPr>
                <w:rFonts w:ascii="宋体" w:hAnsi="宋体" w:eastAsia="宋体" w:cs="宋体"/>
                <w:spacing w:val="8"/>
                <w:sz w:val="23"/>
                <w:szCs w:val="23"/>
              </w:rPr>
              <w:t>日起</w:t>
            </w:r>
            <w:r>
              <w:rPr>
                <w:rFonts w:ascii="宋体" w:hAnsi="宋体" w:eastAsia="宋体" w:cs="宋体"/>
                <w:spacing w:val="5"/>
                <w:sz w:val="23"/>
                <w:szCs w:val="23"/>
              </w:rPr>
              <w:t>至</w:t>
            </w:r>
            <w:r>
              <w:rPr>
                <w:rFonts w:ascii="宋体" w:hAnsi="宋体" w:eastAsia="宋体" w:cs="宋体"/>
                <w:spacing w:val="4"/>
                <w:sz w:val="23"/>
                <w:szCs w:val="23"/>
              </w:rPr>
              <w:t>投标人提交投标文件截止之日止，少于二十</w:t>
            </w:r>
            <w:r>
              <w:rPr>
                <w:rFonts w:ascii="宋体" w:hAnsi="宋体" w:eastAsia="宋体" w:cs="宋体"/>
                <w:sz w:val="23"/>
                <w:szCs w:val="23"/>
              </w:rPr>
              <w:t>日</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法》第二十四条</w:t>
            </w:r>
          </w:p>
        </w:tc>
      </w:tr>
      <w:tr>
        <w:trPr>
          <w:trHeight w:val="855"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标办法》第三十一条</w:t>
            </w:r>
          </w:p>
        </w:tc>
      </w:tr>
      <w:tr>
        <w:trPr>
          <w:trHeight w:val="855"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 标办法》第三十条</w:t>
            </w:r>
          </w:p>
        </w:tc>
      </w:tr>
      <w:tr>
        <w:trPr>
          <w:trHeight w:val="855" w:hRule="atLeast"/>
        </w:trPr>
        <w:tc>
          <w:tcPr>
            <w:tcW w:w="871" w:type="dxa"/>
            <w:vMerge w:val="continue"/>
            <w:vAlign w:val="top"/>
          </w:tcPr>
          <w:p>
            <w:pPr>
              <w:rPr>
                <w:rFonts w:ascii="Arial"/>
                <w:sz w:val="21"/>
              </w:rPr>
            </w:pPr>
          </w:p>
        </w:tc>
        <w:tc>
          <w:tcPr>
            <w:tcW w:w="5422" w:type="dxa"/>
            <w:vMerge w:val="continue"/>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标投标办法》第十九条</w:t>
            </w:r>
          </w:p>
        </w:tc>
      </w:tr>
      <w:tr>
        <w:trPr>
          <w:trHeight w:val="1207" w:hRule="atLeast"/>
        </w:trPr>
        <w:tc>
          <w:tcPr>
            <w:tcW w:w="871" w:type="dxa"/>
            <w:vAlign w:val="top"/>
          </w:tcPr>
          <w:p>
            <w:pPr>
              <w:spacing w:line="245" w:lineRule="auto"/>
              <w:rPr>
                <w:rFonts w:ascii="Arial"/>
                <w:sz w:val="21"/>
              </w:rPr>
            </w:pPr>
          </w:p>
          <w:p>
            <w:pPr>
              <w:spacing w:line="245" w:lineRule="auto"/>
              <w:rPr>
                <w:rFonts w:ascii="Arial"/>
                <w:sz w:val="21"/>
              </w:rPr>
            </w:pPr>
          </w:p>
          <w:p>
            <w:pPr>
              <w:spacing w:before="66" w:line="195"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21</w:t>
            </w:r>
          </w:p>
        </w:tc>
        <w:tc>
          <w:tcPr>
            <w:tcW w:w="5422" w:type="dxa"/>
            <w:vAlign w:val="top"/>
          </w:tcPr>
          <w:p>
            <w:pPr>
              <w:spacing w:before="119" w:line="321" w:lineRule="auto"/>
              <w:ind w:right="54" w:firstLine="504" w:firstLineChars="200"/>
              <w:rPr>
                <w:rFonts w:ascii="宋体" w:hAnsi="宋体" w:eastAsia="宋体" w:cs="宋体"/>
                <w:sz w:val="23"/>
                <w:szCs w:val="23"/>
              </w:rPr>
            </w:pPr>
            <w:r>
              <w:rPr>
                <w:rFonts w:ascii="宋体" w:hAnsi="宋体" w:eastAsia="宋体" w:cs="宋体"/>
                <w:spacing w:val="11"/>
                <w:sz w:val="23"/>
                <w:szCs w:val="23"/>
              </w:rPr>
              <w:t>招</w:t>
            </w:r>
            <w:r>
              <w:rPr>
                <w:rFonts w:ascii="宋体" w:hAnsi="宋体" w:eastAsia="宋体" w:cs="宋体"/>
                <w:spacing w:val="6"/>
                <w:sz w:val="23"/>
                <w:szCs w:val="23"/>
              </w:rPr>
              <w:t>标人终止招标的，未及时发布公告，或者未以书</w:t>
            </w:r>
            <w:r>
              <w:rPr>
                <w:rFonts w:ascii="宋体" w:hAnsi="宋体" w:eastAsia="宋体" w:cs="宋体"/>
                <w:spacing w:val="12"/>
                <w:sz w:val="23"/>
                <w:szCs w:val="23"/>
              </w:rPr>
              <w:t>面</w:t>
            </w:r>
            <w:r>
              <w:rPr>
                <w:rFonts w:ascii="宋体" w:hAnsi="宋体" w:eastAsia="宋体" w:cs="宋体"/>
                <w:spacing w:val="8"/>
                <w:sz w:val="23"/>
                <w:szCs w:val="23"/>
              </w:rPr>
              <w:t>形式通知被邀请的 (或者已经获取招标文件的)</w:t>
            </w:r>
            <w:r>
              <w:rPr>
                <w:rFonts w:ascii="宋体" w:hAnsi="宋体" w:eastAsia="宋体" w:cs="宋体"/>
                <w:spacing w:val="9"/>
                <w:sz w:val="23"/>
                <w:szCs w:val="23"/>
              </w:rPr>
              <w:t>潜</w:t>
            </w:r>
            <w:r>
              <w:rPr>
                <w:rFonts w:ascii="宋体" w:hAnsi="宋体" w:eastAsia="宋体" w:cs="宋体"/>
                <w:spacing w:val="8"/>
                <w:sz w:val="23"/>
                <w:szCs w:val="23"/>
              </w:rPr>
              <w:t>在投标人</w:t>
            </w:r>
          </w:p>
        </w:tc>
        <w:tc>
          <w:tcPr>
            <w:tcW w:w="3209" w:type="dxa"/>
            <w:vAlign w:val="top"/>
          </w:tcPr>
          <w:p>
            <w:pPr>
              <w:spacing w:before="75" w:line="275" w:lineRule="auto"/>
              <w:ind w:right="169"/>
              <w:jc w:val="center"/>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法实施条例》第三十一条</w:t>
            </w:r>
          </w:p>
        </w:tc>
      </w:tr>
    </w:tbl>
    <w:p>
      <w:pPr>
        <w:sectPr>
          <w:footerReference r:id="rId8" w:type="default"/>
          <w:pgSz w:w="11906" w:h="16839"/>
          <w:pgMar w:top="1431" w:right="1242" w:bottom="1155"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22"/>
        <w:gridCol w:w="3209"/>
      </w:tblGrid>
      <w:tr>
        <w:trPr>
          <w:trHeight w:val="864"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321" w:lineRule="auto"/>
              <w:rPr>
                <w:rFonts w:ascii="Arial"/>
                <w:sz w:val="21"/>
              </w:rPr>
            </w:pPr>
          </w:p>
          <w:p>
            <w:pPr>
              <w:spacing w:before="66" w:line="195"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22</w:t>
            </w:r>
          </w:p>
        </w:tc>
        <w:tc>
          <w:tcPr>
            <w:tcW w:w="5422" w:type="dxa"/>
            <w:tcBorders>
              <w:top w:val="single" w:color="auto" w:sz="4" w:space="0"/>
              <w:left w:val="single" w:color="auto" w:sz="4" w:space="0"/>
              <w:bottom w:val="single" w:color="auto" w:sz="4" w:space="0"/>
              <w:right w:val="single" w:color="auto" w:sz="4" w:space="0"/>
            </w:tcBorders>
            <w:vAlign w:val="top"/>
          </w:tcPr>
          <w:p>
            <w:pPr>
              <w:spacing w:before="305" w:line="323" w:lineRule="exact"/>
              <w:ind w:left="791"/>
              <w:rPr>
                <w:rFonts w:ascii="Times New Roman" w:hAnsi="Times New Roman" w:eastAsia="Times New Roman" w:cs="Times New Roman"/>
                <w:sz w:val="23"/>
                <w:szCs w:val="23"/>
              </w:rPr>
            </w:pPr>
            <w:r>
              <w:rPr>
                <w:rFonts w:ascii="宋体" w:hAnsi="宋体" w:eastAsia="宋体" w:cs="宋体"/>
                <w:spacing w:val="5"/>
                <w:position w:val="1"/>
                <w:sz w:val="23"/>
                <w:szCs w:val="23"/>
              </w:rPr>
              <w:t xml:space="preserve">履约保证金超过中标合同金额的 </w:t>
            </w:r>
            <w:r>
              <w:rPr>
                <w:rFonts w:ascii="Times New Roman" w:hAnsi="Times New Roman" w:eastAsia="Times New Roman" w:cs="Times New Roman"/>
                <w:spacing w:val="5"/>
                <w:position w:val="1"/>
                <w:sz w:val="23"/>
                <w:szCs w:val="23"/>
              </w:rPr>
              <w:t>10%</w:t>
            </w: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法实施条例》第五十八条</w:t>
            </w:r>
          </w:p>
        </w:tc>
      </w:tr>
      <w:tr>
        <w:trPr>
          <w:trHeight w:val="1204"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243" w:lineRule="auto"/>
              <w:rPr>
                <w:rFonts w:ascii="Arial"/>
                <w:sz w:val="21"/>
              </w:rPr>
            </w:pPr>
          </w:p>
          <w:p>
            <w:pPr>
              <w:spacing w:line="244" w:lineRule="auto"/>
              <w:rPr>
                <w:rFonts w:ascii="Arial"/>
                <w:sz w:val="21"/>
              </w:rPr>
            </w:pPr>
          </w:p>
          <w:p>
            <w:pPr>
              <w:spacing w:before="66" w:line="194"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23</w:t>
            </w:r>
          </w:p>
        </w:tc>
        <w:tc>
          <w:tcPr>
            <w:tcW w:w="5422" w:type="dxa"/>
            <w:tcBorders>
              <w:top w:val="single" w:color="auto" w:sz="4" w:space="0"/>
              <w:left w:val="single" w:color="auto" w:sz="4" w:space="0"/>
              <w:bottom w:val="single" w:color="auto" w:sz="4" w:space="0"/>
              <w:right w:val="single" w:color="auto" w:sz="4" w:space="0"/>
            </w:tcBorders>
            <w:vAlign w:val="top"/>
          </w:tcPr>
          <w:p>
            <w:pPr>
              <w:spacing w:line="439" w:lineRule="auto"/>
              <w:rPr>
                <w:rFonts w:ascii="Arial"/>
                <w:sz w:val="21"/>
              </w:rPr>
            </w:pPr>
          </w:p>
          <w:p>
            <w:pPr>
              <w:spacing w:before="75" w:line="227" w:lineRule="auto"/>
              <w:ind w:left="1457"/>
              <w:rPr>
                <w:rFonts w:ascii="宋体" w:hAnsi="宋体" w:eastAsia="宋体" w:cs="宋体"/>
                <w:sz w:val="23"/>
                <w:szCs w:val="23"/>
              </w:rPr>
            </w:pPr>
            <w:r>
              <w:rPr>
                <w:rFonts w:ascii="宋体" w:hAnsi="宋体" w:eastAsia="宋体" w:cs="宋体"/>
                <w:spacing w:val="3"/>
                <w:sz w:val="23"/>
                <w:szCs w:val="23"/>
              </w:rPr>
              <w:t xml:space="preserve">缺陷责任期超过 </w:t>
            </w:r>
            <w:r>
              <w:rPr>
                <w:rFonts w:ascii="Times New Roman" w:hAnsi="Times New Roman" w:eastAsia="Times New Roman" w:cs="Times New Roman"/>
                <w:spacing w:val="3"/>
                <w:sz w:val="23"/>
                <w:szCs w:val="23"/>
              </w:rPr>
              <w:t xml:space="preserve">24 </w:t>
            </w:r>
            <w:r>
              <w:rPr>
                <w:rFonts w:ascii="宋体" w:hAnsi="宋体" w:eastAsia="宋体" w:cs="宋体"/>
                <w:spacing w:val="3"/>
                <w:sz w:val="23"/>
                <w:szCs w:val="23"/>
              </w:rPr>
              <w:t>个</w:t>
            </w:r>
            <w:r>
              <w:rPr>
                <w:rFonts w:ascii="宋体" w:hAnsi="宋体" w:eastAsia="宋体" w:cs="宋体"/>
                <w:spacing w:val="2"/>
                <w:sz w:val="23"/>
                <w:szCs w:val="23"/>
              </w:rPr>
              <w:t>月</w:t>
            </w: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《建设工程质量保证金管理 办法》(建质[2017]138号)第二条</w:t>
            </w:r>
          </w:p>
        </w:tc>
      </w:tr>
      <w:tr>
        <w:trPr>
          <w:trHeight w:val="855"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312" w:lineRule="auto"/>
              <w:rPr>
                <w:rFonts w:ascii="Arial"/>
                <w:sz w:val="21"/>
              </w:rPr>
            </w:pPr>
          </w:p>
          <w:p>
            <w:pPr>
              <w:spacing w:before="66" w:line="195"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24</w:t>
            </w:r>
          </w:p>
        </w:tc>
        <w:tc>
          <w:tcPr>
            <w:tcW w:w="5422" w:type="dxa"/>
            <w:tcBorders>
              <w:top w:val="single" w:color="auto" w:sz="4" w:space="0"/>
              <w:left w:val="single" w:color="auto" w:sz="4" w:space="0"/>
              <w:bottom w:val="single" w:color="auto" w:sz="4" w:space="0"/>
              <w:right w:val="single" w:color="auto" w:sz="4" w:space="0"/>
            </w:tcBorders>
            <w:vAlign w:val="top"/>
          </w:tcPr>
          <w:p>
            <w:pPr>
              <w:spacing w:line="265" w:lineRule="auto"/>
              <w:rPr>
                <w:rFonts w:ascii="Arial"/>
                <w:sz w:val="21"/>
              </w:rPr>
            </w:pPr>
          </w:p>
          <w:p>
            <w:pPr>
              <w:spacing w:before="75" w:line="228" w:lineRule="auto"/>
              <w:ind w:left="1518"/>
              <w:rPr>
                <w:rFonts w:ascii="宋体" w:hAnsi="宋体" w:eastAsia="宋体" w:cs="宋体"/>
                <w:sz w:val="23"/>
                <w:szCs w:val="23"/>
              </w:rPr>
            </w:pPr>
            <w:r>
              <w:rPr>
                <w:rFonts w:ascii="宋体" w:hAnsi="宋体" w:eastAsia="宋体" w:cs="宋体"/>
                <w:spacing w:val="9"/>
                <w:sz w:val="23"/>
                <w:szCs w:val="23"/>
              </w:rPr>
              <w:t>招标人直接指定分包</w:t>
            </w:r>
            <w:r>
              <w:rPr>
                <w:rFonts w:ascii="宋体" w:hAnsi="宋体" w:eastAsia="宋体" w:cs="宋体"/>
                <w:spacing w:val="8"/>
                <w:sz w:val="23"/>
                <w:szCs w:val="23"/>
              </w:rPr>
              <w:t>人</w:t>
            </w:r>
          </w:p>
        </w:tc>
        <w:tc>
          <w:tcPr>
            <w:tcW w:w="3209" w:type="dxa"/>
            <w:tcBorders>
              <w:top w:val="single" w:color="auto" w:sz="4" w:space="0"/>
              <w:left w:val="single" w:color="auto" w:sz="4" w:space="0"/>
              <w:bottom w:val="single" w:color="auto" w:sz="4" w:space="0"/>
              <w:right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 标办法》第六十六条</w:t>
            </w:r>
          </w:p>
        </w:tc>
      </w:tr>
      <w:tr>
        <w:trPr>
          <w:trHeight w:val="2554"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66" w:line="194"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25</w:t>
            </w:r>
          </w:p>
        </w:tc>
        <w:tc>
          <w:tcPr>
            <w:tcW w:w="5422" w:type="dxa"/>
            <w:tcBorders>
              <w:top w:val="single" w:color="auto" w:sz="4" w:space="0"/>
              <w:left w:val="single" w:color="auto" w:sz="4" w:space="0"/>
              <w:bottom w:val="single" w:color="auto" w:sz="4" w:space="0"/>
              <w:right w:val="single" w:color="auto" w:sz="4" w:space="0"/>
            </w:tcBorders>
            <w:vAlign w:val="center"/>
          </w:tcPr>
          <w:p>
            <w:pPr>
              <w:spacing w:before="75" w:line="227" w:lineRule="auto"/>
              <w:ind w:firstLine="528" w:firstLineChars="200"/>
              <w:jc w:val="both"/>
              <w:rPr>
                <w:rFonts w:ascii="宋体" w:hAnsi="宋体" w:eastAsia="宋体" w:cs="宋体"/>
                <w:sz w:val="23"/>
                <w:szCs w:val="23"/>
              </w:rPr>
            </w:pPr>
            <w:r>
              <w:rPr>
                <w:rFonts w:ascii="宋体" w:hAnsi="宋体" w:eastAsia="宋体" w:cs="宋体"/>
                <w:spacing w:val="17"/>
                <w:sz w:val="23"/>
                <w:szCs w:val="23"/>
              </w:rPr>
              <w:t>(</w:t>
            </w:r>
            <w:r>
              <w:rPr>
                <w:rFonts w:ascii="Times New Roman" w:hAnsi="Times New Roman" w:eastAsia="Times New Roman" w:cs="Times New Roman"/>
                <w:spacing w:val="14"/>
                <w:sz w:val="23"/>
                <w:szCs w:val="23"/>
              </w:rPr>
              <w:t>1</w:t>
            </w:r>
            <w:r>
              <w:rPr>
                <w:rFonts w:ascii="宋体" w:hAnsi="宋体" w:eastAsia="宋体" w:cs="宋体"/>
                <w:spacing w:val="14"/>
                <w:sz w:val="23"/>
                <w:szCs w:val="23"/>
              </w:rPr>
              <w:t>) 减损投标人合法权益或增加其义务</w:t>
            </w:r>
          </w:p>
          <w:p>
            <w:pPr>
              <w:spacing w:before="117" w:line="227" w:lineRule="auto"/>
              <w:ind w:firstLine="560" w:firstLineChars="200"/>
              <w:jc w:val="both"/>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4"/>
                <w:sz w:val="23"/>
                <w:szCs w:val="23"/>
              </w:rPr>
              <w:t>2</w:t>
            </w:r>
            <w:r>
              <w:rPr>
                <w:rFonts w:ascii="宋体" w:hAnsi="宋体" w:eastAsia="宋体" w:cs="宋体"/>
                <w:spacing w:val="14"/>
                <w:sz w:val="23"/>
                <w:szCs w:val="23"/>
              </w:rPr>
              <w:t>) 设置市场准入条件和退出条件</w:t>
            </w:r>
          </w:p>
          <w:p>
            <w:pPr>
              <w:spacing w:before="117" w:line="227" w:lineRule="auto"/>
              <w:ind w:firstLine="556" w:firstLineChars="200"/>
              <w:jc w:val="both"/>
              <w:rPr>
                <w:rFonts w:ascii="宋体" w:hAnsi="宋体" w:eastAsia="宋体" w:cs="宋体"/>
                <w:sz w:val="23"/>
                <w:szCs w:val="23"/>
              </w:rPr>
            </w:pPr>
            <w:r>
              <w:rPr>
                <w:rFonts w:ascii="宋体" w:hAnsi="宋体" w:eastAsia="宋体" w:cs="宋体"/>
                <w:spacing w:val="24"/>
                <w:sz w:val="23"/>
                <w:szCs w:val="23"/>
              </w:rPr>
              <w:t>(</w:t>
            </w:r>
            <w:r>
              <w:rPr>
                <w:rFonts w:ascii="Times New Roman" w:hAnsi="Times New Roman" w:eastAsia="Times New Roman" w:cs="Times New Roman"/>
                <w:spacing w:val="15"/>
                <w:sz w:val="23"/>
                <w:szCs w:val="23"/>
              </w:rPr>
              <w:t>3</w:t>
            </w:r>
            <w:r>
              <w:rPr>
                <w:rFonts w:ascii="宋体" w:hAnsi="宋体" w:eastAsia="宋体" w:cs="宋体"/>
                <w:spacing w:val="15"/>
                <w:sz w:val="23"/>
                <w:szCs w:val="23"/>
              </w:rPr>
              <w:t>) 设定非必需的证明事项</w:t>
            </w:r>
          </w:p>
          <w:p>
            <w:pPr>
              <w:spacing w:before="114" w:line="227" w:lineRule="auto"/>
              <w:ind w:firstLine="544" w:firstLineChars="200"/>
              <w:jc w:val="both"/>
              <w:rPr>
                <w:rFonts w:ascii="宋体" w:hAnsi="宋体" w:eastAsia="宋体" w:cs="宋体"/>
                <w:sz w:val="23"/>
                <w:szCs w:val="23"/>
              </w:rPr>
            </w:pPr>
            <w:r>
              <w:rPr>
                <w:rFonts w:ascii="宋体" w:hAnsi="宋体" w:eastAsia="宋体" w:cs="宋体"/>
                <w:spacing w:val="21"/>
                <w:sz w:val="23"/>
                <w:szCs w:val="23"/>
              </w:rPr>
              <w:t>(</w:t>
            </w:r>
            <w:r>
              <w:rPr>
                <w:rFonts w:ascii="Times New Roman" w:hAnsi="Times New Roman" w:eastAsia="Times New Roman" w:cs="Times New Roman"/>
                <w:spacing w:val="14"/>
                <w:sz w:val="23"/>
                <w:szCs w:val="23"/>
              </w:rPr>
              <w:t>4</w:t>
            </w:r>
            <w:r>
              <w:rPr>
                <w:rFonts w:ascii="宋体" w:hAnsi="宋体" w:eastAsia="宋体" w:cs="宋体"/>
                <w:spacing w:val="14"/>
                <w:sz w:val="23"/>
                <w:szCs w:val="23"/>
              </w:rPr>
              <w:t>) 干预市场主体正常生产经营活动</w:t>
            </w:r>
          </w:p>
        </w:tc>
        <w:tc>
          <w:tcPr>
            <w:tcW w:w="3209" w:type="dxa"/>
            <w:tcBorders>
              <w:top w:val="single" w:color="auto" w:sz="4" w:space="0"/>
              <w:left w:val="single" w:color="auto" w:sz="4" w:space="0"/>
              <w:bottom w:val="single" w:color="auto" w:sz="4" w:space="0"/>
              <w:right w:val="single" w:color="auto" w:sz="4" w:space="0"/>
            </w:tcBorders>
            <w:vAlign w:val="center"/>
          </w:tcPr>
          <w:p>
            <w:pPr>
              <w:spacing w:before="75" w:line="275" w:lineRule="auto"/>
              <w:ind w:right="169"/>
              <w:jc w:val="both"/>
              <w:rPr>
                <w:rFonts w:ascii="宋体" w:hAnsi="宋体" w:eastAsia="宋体" w:cs="宋体"/>
                <w:spacing w:val="22"/>
                <w:sz w:val="23"/>
                <w:szCs w:val="23"/>
              </w:rPr>
            </w:pPr>
            <w:r>
              <w:rPr>
                <w:rFonts w:ascii="宋体" w:hAnsi="宋体" w:eastAsia="宋体" w:cs="宋体"/>
                <w:spacing w:val="22"/>
                <w:sz w:val="23"/>
                <w:szCs w:val="23"/>
              </w:rPr>
              <w:t>《关于建立健全招标投标领 域优化营商环境长效机制的 通知》(发改法规〔2021〕240号)</w:t>
            </w:r>
          </w:p>
        </w:tc>
      </w:tr>
      <w:tr>
        <w:trPr>
          <w:trHeight w:val="1204" w:hRule="atLeast"/>
        </w:trPr>
        <w:tc>
          <w:tcPr>
            <w:tcW w:w="871" w:type="dxa"/>
            <w:vMerge w:val="restart"/>
            <w:tcBorders>
              <w:top w:val="single" w:color="auto" w:sz="4"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6" w:line="194"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26</w:t>
            </w:r>
          </w:p>
        </w:tc>
        <w:tc>
          <w:tcPr>
            <w:tcW w:w="5422" w:type="dxa"/>
            <w:vMerge w:val="restart"/>
            <w:tcBorders>
              <w:top w:val="single" w:color="auto" w:sz="4" w:space="0"/>
              <w:bottom w:val="nil"/>
            </w:tcBorders>
            <w:vAlign w:val="top"/>
          </w:tcPr>
          <w:p>
            <w:pPr>
              <w:spacing w:before="171" w:line="227" w:lineRule="auto"/>
              <w:ind w:firstLine="552" w:firstLineChars="200"/>
              <w:rPr>
                <w:rFonts w:ascii="宋体" w:hAnsi="宋体" w:eastAsia="宋体" w:cs="宋体"/>
                <w:spacing w:val="23"/>
                <w:sz w:val="23"/>
                <w:szCs w:val="23"/>
              </w:rPr>
            </w:pPr>
          </w:p>
          <w:p>
            <w:pPr>
              <w:spacing w:before="171" w:line="227" w:lineRule="auto"/>
              <w:rPr>
                <w:rFonts w:ascii="宋体" w:hAnsi="宋体" w:eastAsia="宋体" w:cs="宋体"/>
                <w:spacing w:val="23"/>
                <w:sz w:val="23"/>
                <w:szCs w:val="23"/>
              </w:rPr>
            </w:pPr>
          </w:p>
          <w:p>
            <w:pPr>
              <w:spacing w:before="171" w:line="227" w:lineRule="auto"/>
              <w:ind w:firstLine="552" w:firstLineChars="200"/>
              <w:rPr>
                <w:rFonts w:ascii="宋体" w:hAnsi="宋体" w:eastAsia="宋体" w:cs="宋体"/>
                <w:spacing w:val="23"/>
                <w:sz w:val="23"/>
                <w:szCs w:val="23"/>
              </w:rPr>
            </w:pPr>
            <w:r>
              <w:rPr>
                <w:rFonts w:ascii="宋体" w:hAnsi="宋体" w:eastAsia="宋体" w:cs="宋体"/>
                <w:spacing w:val="23"/>
                <w:sz w:val="23"/>
                <w:szCs w:val="23"/>
              </w:rPr>
              <w:t>明示或暗示评标专家对不同投标人采取不同的评 标标准、实施不客观公正评价</w:t>
            </w:r>
          </w:p>
        </w:tc>
        <w:tc>
          <w:tcPr>
            <w:tcW w:w="3209" w:type="dxa"/>
            <w:tcBorders>
              <w:top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法实施条例》第四十八条、</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第四十九条</w:t>
            </w:r>
          </w:p>
        </w:tc>
      </w:tr>
      <w:tr>
        <w:trPr>
          <w:trHeight w:val="2004"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spacing w:before="171" w:line="227" w:lineRule="auto"/>
              <w:ind w:firstLine="552" w:firstLineChars="200"/>
              <w:rPr>
                <w:rFonts w:ascii="宋体" w:hAnsi="宋体" w:eastAsia="宋体" w:cs="宋体"/>
                <w:spacing w:val="23"/>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《关于印发工程项目招投标 领域营商环境专项整治工作 方案的通知》  (发改办法规〔2019〕862 号)附件第二“整治范围和内容”</w:t>
            </w:r>
          </w:p>
        </w:tc>
      </w:tr>
      <w:tr>
        <w:trPr>
          <w:trHeight w:val="855" w:hRule="atLeast"/>
        </w:trPr>
        <w:tc>
          <w:tcPr>
            <w:tcW w:w="871"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66" w:line="195"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27</w:t>
            </w:r>
          </w:p>
        </w:tc>
        <w:tc>
          <w:tcPr>
            <w:tcW w:w="5422" w:type="dxa"/>
            <w:vMerge w:val="restart"/>
            <w:tcBorders>
              <w:bottom w:val="nil"/>
            </w:tcBorders>
            <w:vAlign w:val="top"/>
          </w:tcPr>
          <w:p>
            <w:pPr>
              <w:spacing w:before="171" w:line="227" w:lineRule="auto"/>
              <w:ind w:firstLine="552" w:firstLineChars="200"/>
              <w:rPr>
                <w:rFonts w:ascii="宋体" w:hAnsi="宋体" w:eastAsia="宋体" w:cs="宋体"/>
                <w:spacing w:val="23"/>
                <w:sz w:val="23"/>
                <w:szCs w:val="23"/>
              </w:rPr>
            </w:pPr>
          </w:p>
          <w:p>
            <w:pPr>
              <w:spacing w:before="171" w:line="227" w:lineRule="auto"/>
              <w:rPr>
                <w:rFonts w:ascii="宋体" w:hAnsi="宋体" w:eastAsia="宋体" w:cs="宋体"/>
                <w:spacing w:val="23"/>
                <w:sz w:val="23"/>
                <w:szCs w:val="23"/>
              </w:rPr>
            </w:pPr>
          </w:p>
          <w:p>
            <w:pPr>
              <w:spacing w:before="171" w:line="227" w:lineRule="auto"/>
              <w:ind w:firstLine="552" w:firstLineChars="200"/>
              <w:rPr>
                <w:rFonts w:ascii="宋体" w:hAnsi="宋体" w:eastAsia="宋体" w:cs="宋体"/>
                <w:spacing w:val="23"/>
                <w:sz w:val="23"/>
                <w:szCs w:val="23"/>
              </w:rPr>
            </w:pPr>
            <w:r>
              <w:rPr>
                <w:rFonts w:ascii="宋体" w:hAnsi="宋体" w:eastAsia="宋体" w:cs="宋体"/>
                <w:spacing w:val="23"/>
                <w:sz w:val="23"/>
                <w:szCs w:val="23"/>
              </w:rPr>
              <w:t>投标人同意延长投标有效期的，招标人要求或允许投标人修改其投标文件的实质性内容</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标办法》第二十九条</w:t>
            </w:r>
          </w:p>
        </w:tc>
      </w:tr>
      <w:tr>
        <w:trPr>
          <w:trHeight w:val="85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spacing w:before="171" w:line="227" w:lineRule="auto"/>
              <w:ind w:firstLine="552" w:firstLineChars="200"/>
              <w:rPr>
                <w:rFonts w:ascii="宋体" w:hAnsi="宋体" w:eastAsia="宋体" w:cs="宋体"/>
                <w:spacing w:val="23"/>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 标办法》第二十八条</w:t>
            </w:r>
          </w:p>
        </w:tc>
      </w:tr>
      <w:tr>
        <w:trPr>
          <w:trHeight w:val="855"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spacing w:before="171" w:line="227" w:lineRule="auto"/>
              <w:ind w:firstLine="552" w:firstLineChars="200"/>
              <w:rPr>
                <w:rFonts w:ascii="宋体" w:hAnsi="宋体" w:eastAsia="宋体" w:cs="宋体"/>
                <w:spacing w:val="23"/>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标投标办法》第四十六条</w:t>
            </w:r>
          </w:p>
        </w:tc>
      </w:tr>
      <w:tr>
        <w:trPr>
          <w:trHeight w:val="855" w:hRule="atLeast"/>
        </w:trPr>
        <w:tc>
          <w:tcPr>
            <w:tcW w:w="87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6" w:line="194"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28</w:t>
            </w:r>
          </w:p>
        </w:tc>
        <w:tc>
          <w:tcPr>
            <w:tcW w:w="5422" w:type="dxa"/>
            <w:vMerge w:val="restart"/>
            <w:tcBorders>
              <w:bottom w:val="nil"/>
            </w:tcBorders>
            <w:vAlign w:val="top"/>
          </w:tcPr>
          <w:p>
            <w:pPr>
              <w:spacing w:before="171" w:line="227" w:lineRule="auto"/>
              <w:rPr>
                <w:rFonts w:ascii="宋体" w:hAnsi="宋体" w:eastAsia="宋体" w:cs="宋体"/>
                <w:spacing w:val="23"/>
                <w:sz w:val="23"/>
                <w:szCs w:val="23"/>
              </w:rPr>
            </w:pPr>
          </w:p>
          <w:p>
            <w:pPr>
              <w:spacing w:before="171" w:line="227" w:lineRule="auto"/>
              <w:ind w:firstLine="552" w:firstLineChars="200"/>
              <w:rPr>
                <w:rFonts w:ascii="宋体" w:hAnsi="宋体" w:eastAsia="宋体" w:cs="宋体"/>
                <w:spacing w:val="23"/>
                <w:sz w:val="23"/>
                <w:szCs w:val="23"/>
              </w:rPr>
            </w:pPr>
            <w:r>
              <w:rPr>
                <w:rFonts w:ascii="宋体" w:hAnsi="宋体" w:eastAsia="宋体" w:cs="宋体"/>
                <w:spacing w:val="23"/>
                <w:sz w:val="23"/>
                <w:szCs w:val="23"/>
              </w:rPr>
              <w:t>在确定中标人前,招标人与投标人就投标价格、投标方案等实质性内容进行谈判</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法》第四十三条</w:t>
            </w:r>
          </w:p>
        </w:tc>
      </w:tr>
      <w:tr>
        <w:trPr>
          <w:trHeight w:val="857"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rPr>
                <w:rFonts w:ascii="Arial"/>
                <w:sz w:val="21"/>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《评标委员会和评标方法暂 行规定》第四十七条</w:t>
            </w:r>
          </w:p>
        </w:tc>
      </w:tr>
    </w:tbl>
    <w:p>
      <w:pPr>
        <w:sectPr>
          <w:footerReference r:id="rId9" w:type="default"/>
          <w:pgSz w:w="11906" w:h="16839"/>
          <w:pgMar w:top="1431" w:right="1242" w:bottom="1157" w:left="1156" w:header="0" w:footer="994" w:gutter="0"/>
          <w:cols w:space="720" w:num="1"/>
        </w:sectPr>
      </w:pPr>
    </w:p>
    <w:p/>
    <w:tbl>
      <w:tblPr>
        <w:tblpPr w:leftFromText="180" w:rightFromText="180" w:vertAnchor="text" w:horzAnchor="page" w:tblpX="1204" w:tblpY="15"/>
        <w:tblOverlap w:val="never"/>
        <w:tblW w:w="95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22"/>
        <w:gridCol w:w="3209"/>
      </w:tblGrid>
      <w:tr>
        <w:trPr>
          <w:trHeight w:val="864" w:hRule="atLeast"/>
        </w:trPr>
        <w:tc>
          <w:tcPr>
            <w:tcW w:w="871" w:type="dxa"/>
            <w:vMerge w:val="restart"/>
            <w:tcBorders>
              <w:top w:val="single" w:color="auto" w:sz="4" w:space="0"/>
              <w:left w:val="single" w:color="auto" w:sz="4" w:space="0"/>
              <w:bottom w:val="single" w:color="auto" w:sz="4" w:space="0"/>
              <w:right w:val="single" w:color="auto" w:sz="4"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6" w:line="195" w:lineRule="auto"/>
              <w:ind w:left="31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29</w:t>
            </w:r>
          </w:p>
        </w:tc>
        <w:tc>
          <w:tcPr>
            <w:tcW w:w="5422" w:type="dxa"/>
            <w:vMerge w:val="restart"/>
            <w:tcBorders>
              <w:top w:val="single" w:color="auto" w:sz="4" w:space="0"/>
              <w:left w:val="single" w:color="auto" w:sz="4" w:space="0"/>
              <w:bottom w:val="single" w:color="auto" w:sz="4" w:space="0"/>
              <w:right w:val="single" w:color="auto" w:sz="4" w:space="0"/>
            </w:tcBorders>
            <w:vAlign w:val="top"/>
          </w:tcPr>
          <w:p>
            <w:pPr>
              <w:spacing w:before="119" w:line="321" w:lineRule="auto"/>
              <w:ind w:right="54" w:firstLine="504" w:firstLineChars="200"/>
              <w:rPr>
                <w:rFonts w:ascii="宋体" w:hAnsi="宋体" w:eastAsia="宋体" w:cs="宋体"/>
                <w:spacing w:val="11"/>
                <w:sz w:val="23"/>
                <w:szCs w:val="23"/>
              </w:rPr>
            </w:pPr>
          </w:p>
          <w:p>
            <w:pPr>
              <w:spacing w:before="119" w:line="321" w:lineRule="auto"/>
              <w:ind w:right="54"/>
              <w:rPr>
                <w:rFonts w:ascii="宋体" w:hAnsi="宋体" w:eastAsia="宋体" w:cs="宋体"/>
                <w:spacing w:val="11"/>
                <w:sz w:val="23"/>
                <w:szCs w:val="23"/>
              </w:rPr>
            </w:pPr>
          </w:p>
          <w:p>
            <w:pPr>
              <w:spacing w:before="119" w:line="321" w:lineRule="auto"/>
              <w:ind w:right="54" w:firstLine="504" w:firstLineChars="200"/>
              <w:rPr>
                <w:rFonts w:ascii="宋体" w:hAnsi="宋体" w:eastAsia="宋体" w:cs="宋体"/>
                <w:spacing w:val="11"/>
                <w:sz w:val="23"/>
                <w:szCs w:val="23"/>
              </w:rPr>
            </w:pPr>
            <w:r>
              <w:rPr>
                <w:rFonts w:ascii="宋体" w:hAnsi="宋体" w:eastAsia="宋体" w:cs="宋体"/>
                <w:spacing w:val="11"/>
                <w:sz w:val="23"/>
                <w:szCs w:val="23"/>
              </w:rPr>
              <w:t>国有资金占控股或者主导地位的依法必须进行招标的项目，未按照规定确定中标人</w:t>
            </w: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法实施条例》第五十五条</w:t>
            </w:r>
          </w:p>
        </w:tc>
      </w:tr>
      <w:tr>
        <w:trPr>
          <w:trHeight w:val="854" w:hRule="atLeast"/>
        </w:trPr>
        <w:tc>
          <w:tcPr>
            <w:tcW w:w="87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422" w:type="dxa"/>
            <w:vMerge w:val="continue"/>
            <w:tcBorders>
              <w:top w:val="single" w:color="auto" w:sz="4" w:space="0"/>
              <w:left w:val="single" w:color="auto" w:sz="4" w:space="0"/>
              <w:bottom w:val="single" w:color="auto" w:sz="4" w:space="0"/>
              <w:right w:val="single" w:color="auto" w:sz="4" w:space="0"/>
            </w:tcBorders>
            <w:vAlign w:val="top"/>
          </w:tcPr>
          <w:p>
            <w:pPr>
              <w:spacing w:before="119" w:line="321" w:lineRule="auto"/>
              <w:ind w:right="54" w:firstLine="504" w:firstLineChars="200"/>
              <w:rPr>
                <w:rFonts w:ascii="宋体" w:hAnsi="宋体" w:eastAsia="宋体" w:cs="宋体"/>
                <w:spacing w:val="11"/>
                <w:sz w:val="23"/>
                <w:szCs w:val="23"/>
              </w:rPr>
            </w:pP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标办法》第五十八条</w:t>
            </w:r>
          </w:p>
        </w:tc>
      </w:tr>
      <w:tr>
        <w:trPr>
          <w:trHeight w:val="855" w:hRule="atLeast"/>
        </w:trPr>
        <w:tc>
          <w:tcPr>
            <w:tcW w:w="87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422" w:type="dxa"/>
            <w:vMerge w:val="continue"/>
            <w:tcBorders>
              <w:top w:val="single" w:color="auto" w:sz="4" w:space="0"/>
              <w:left w:val="single" w:color="auto" w:sz="4" w:space="0"/>
              <w:bottom w:val="single" w:color="auto" w:sz="4" w:space="0"/>
              <w:right w:val="single" w:color="auto" w:sz="4" w:space="0"/>
            </w:tcBorders>
            <w:vAlign w:val="top"/>
          </w:tcPr>
          <w:p>
            <w:pPr>
              <w:spacing w:before="119" w:line="321" w:lineRule="auto"/>
              <w:ind w:right="54" w:firstLine="504" w:firstLineChars="200"/>
              <w:rPr>
                <w:rFonts w:ascii="宋体" w:hAnsi="宋体" w:eastAsia="宋体" w:cs="宋体"/>
                <w:spacing w:val="11"/>
                <w:sz w:val="23"/>
                <w:szCs w:val="23"/>
              </w:rPr>
            </w:pP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 标办法》第四十八条</w:t>
            </w:r>
          </w:p>
        </w:tc>
      </w:tr>
      <w:tr>
        <w:trPr>
          <w:trHeight w:val="855" w:hRule="atLeast"/>
        </w:trPr>
        <w:tc>
          <w:tcPr>
            <w:tcW w:w="87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422" w:type="dxa"/>
            <w:vMerge w:val="continue"/>
            <w:tcBorders>
              <w:top w:val="single" w:color="auto" w:sz="4" w:space="0"/>
              <w:left w:val="single" w:color="auto" w:sz="4" w:space="0"/>
              <w:bottom w:val="single" w:color="auto" w:sz="4" w:space="0"/>
              <w:right w:val="single" w:color="auto" w:sz="4" w:space="0"/>
            </w:tcBorders>
            <w:vAlign w:val="top"/>
          </w:tcPr>
          <w:p>
            <w:pPr>
              <w:spacing w:before="119" w:line="321" w:lineRule="auto"/>
              <w:ind w:right="54" w:firstLine="504" w:firstLineChars="200"/>
              <w:rPr>
                <w:rFonts w:ascii="宋体" w:hAnsi="宋体" w:eastAsia="宋体" w:cs="宋体"/>
                <w:spacing w:val="11"/>
                <w:sz w:val="23"/>
                <w:szCs w:val="23"/>
              </w:rPr>
            </w:pPr>
          </w:p>
        </w:tc>
        <w:tc>
          <w:tcPr>
            <w:tcW w:w="3209" w:type="dxa"/>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标投标办法》第四十条</w:t>
            </w:r>
          </w:p>
        </w:tc>
      </w:tr>
      <w:tr>
        <w:trPr>
          <w:trHeight w:val="855" w:hRule="atLeast"/>
        </w:trPr>
        <w:tc>
          <w:tcPr>
            <w:tcW w:w="871" w:type="dxa"/>
            <w:tcBorders>
              <w:top w:val="single" w:color="auto" w:sz="4" w:space="0"/>
            </w:tcBorders>
            <w:vAlign w:val="center"/>
          </w:tcPr>
          <w:p>
            <w:pPr>
              <w:spacing w:before="66" w:line="194" w:lineRule="auto"/>
              <w:jc w:val="center"/>
              <w:rPr>
                <w:rFonts w:ascii="Times New Roman" w:hAnsi="Times New Roman" w:eastAsia="Times New Roman" w:cs="Times New Roman"/>
                <w:sz w:val="23"/>
                <w:szCs w:val="23"/>
              </w:rPr>
            </w:pPr>
            <w:r>
              <w:rPr>
                <w:rFonts w:ascii="Times New Roman" w:hAnsi="Times New Roman" w:eastAsia="Times New Roman" w:cs="Times New Roman"/>
                <w:sz w:val="23"/>
                <w:szCs w:val="23"/>
              </w:rPr>
              <w:t>30</w:t>
            </w:r>
          </w:p>
        </w:tc>
        <w:tc>
          <w:tcPr>
            <w:tcW w:w="5422" w:type="dxa"/>
            <w:tcBorders>
              <w:top w:val="single" w:color="auto" w:sz="4" w:space="0"/>
            </w:tcBorders>
            <w:vAlign w:val="center"/>
          </w:tcPr>
          <w:p>
            <w:pPr>
              <w:spacing w:before="119" w:line="321" w:lineRule="auto"/>
              <w:ind w:right="54"/>
              <w:jc w:val="center"/>
              <w:rPr>
                <w:rFonts w:ascii="宋体" w:hAnsi="宋体" w:eastAsia="宋体" w:cs="宋体"/>
                <w:spacing w:val="11"/>
                <w:sz w:val="23"/>
                <w:szCs w:val="23"/>
              </w:rPr>
            </w:pPr>
            <w:r>
              <w:rPr>
                <w:rFonts w:ascii="宋体" w:hAnsi="宋体" w:eastAsia="宋体" w:cs="宋体"/>
                <w:spacing w:val="11"/>
                <w:sz w:val="23"/>
                <w:szCs w:val="23"/>
              </w:rPr>
              <w:t>无正当理由不发出中标通知书</w:t>
            </w:r>
          </w:p>
        </w:tc>
        <w:tc>
          <w:tcPr>
            <w:tcW w:w="3209" w:type="dxa"/>
            <w:tcBorders>
              <w:top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法》第四十五条</w:t>
            </w:r>
          </w:p>
        </w:tc>
      </w:tr>
      <w:tr>
        <w:trPr>
          <w:trHeight w:val="855" w:hRule="atLeast"/>
        </w:trPr>
        <w:tc>
          <w:tcPr>
            <w:tcW w:w="87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31</w:t>
            </w:r>
          </w:p>
        </w:tc>
        <w:tc>
          <w:tcPr>
            <w:tcW w:w="5422" w:type="dxa"/>
            <w:vMerge w:val="restart"/>
            <w:tcBorders>
              <w:bottom w:val="nil"/>
            </w:tcBorders>
            <w:vAlign w:val="top"/>
          </w:tcPr>
          <w:p>
            <w:pPr>
              <w:spacing w:before="119" w:line="321" w:lineRule="auto"/>
              <w:ind w:right="54" w:firstLine="504" w:firstLineChars="200"/>
              <w:rPr>
                <w:rFonts w:ascii="宋体" w:hAnsi="宋体" w:eastAsia="宋体" w:cs="宋体"/>
                <w:spacing w:val="11"/>
                <w:sz w:val="23"/>
                <w:szCs w:val="23"/>
              </w:rPr>
            </w:pPr>
          </w:p>
          <w:p>
            <w:pPr>
              <w:spacing w:before="119" w:line="321" w:lineRule="auto"/>
              <w:ind w:right="54"/>
              <w:rPr>
                <w:rFonts w:ascii="宋体" w:hAnsi="宋体" w:eastAsia="宋体" w:cs="宋体"/>
                <w:spacing w:val="11"/>
                <w:sz w:val="23"/>
                <w:szCs w:val="23"/>
              </w:rPr>
            </w:pPr>
          </w:p>
          <w:p>
            <w:pPr>
              <w:spacing w:before="119" w:line="321" w:lineRule="auto"/>
              <w:ind w:right="54" w:firstLine="504" w:firstLineChars="200"/>
              <w:rPr>
                <w:rFonts w:ascii="宋体" w:hAnsi="宋体" w:eastAsia="宋体" w:cs="宋体"/>
                <w:spacing w:val="11"/>
                <w:sz w:val="23"/>
                <w:szCs w:val="23"/>
              </w:rPr>
            </w:pPr>
            <w:r>
              <w:rPr>
                <w:rFonts w:ascii="宋体" w:hAnsi="宋体" w:eastAsia="宋体" w:cs="宋体"/>
                <w:spacing w:val="11"/>
                <w:sz w:val="23"/>
                <w:szCs w:val="23"/>
              </w:rPr>
              <w:t>(1)不按照招标文件和中标人的投标文件订立合同或再行订立背离合同实质性内容的其他协议</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法》第四十六条</w:t>
            </w:r>
          </w:p>
        </w:tc>
      </w:tr>
      <w:tr>
        <w:trPr>
          <w:trHeight w:val="85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spacing w:before="119" w:line="321" w:lineRule="auto"/>
              <w:ind w:right="54" w:firstLine="504" w:firstLineChars="200"/>
              <w:rPr>
                <w:rFonts w:ascii="宋体" w:hAnsi="宋体" w:eastAsia="宋体" w:cs="宋体"/>
                <w:spacing w:val="11"/>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标办法》第六十二条</w:t>
            </w:r>
          </w:p>
        </w:tc>
      </w:tr>
      <w:tr>
        <w:trPr>
          <w:trHeight w:val="855" w:hRule="atLeast"/>
        </w:trPr>
        <w:tc>
          <w:tcPr>
            <w:tcW w:w="871" w:type="dxa"/>
            <w:vMerge w:val="continue"/>
            <w:tcBorders>
              <w:top w:val="nil"/>
              <w:bottom w:val="nil"/>
            </w:tcBorders>
            <w:vAlign w:val="top"/>
          </w:tcPr>
          <w:p>
            <w:pPr>
              <w:rPr>
                <w:rFonts w:ascii="Arial"/>
                <w:sz w:val="21"/>
              </w:rPr>
            </w:pPr>
          </w:p>
        </w:tc>
        <w:tc>
          <w:tcPr>
            <w:tcW w:w="5422" w:type="dxa"/>
            <w:vMerge w:val="continue"/>
            <w:tcBorders>
              <w:top w:val="nil"/>
              <w:bottom w:val="nil"/>
            </w:tcBorders>
            <w:vAlign w:val="top"/>
          </w:tcPr>
          <w:p>
            <w:pPr>
              <w:spacing w:before="119" w:line="321" w:lineRule="auto"/>
              <w:ind w:right="54" w:firstLine="504" w:firstLineChars="200"/>
              <w:rPr>
                <w:rFonts w:ascii="宋体" w:hAnsi="宋体" w:eastAsia="宋体" w:cs="宋体"/>
                <w:spacing w:val="11"/>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《工程建设项目货物招标投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标办法》第五十一条</w:t>
            </w:r>
          </w:p>
        </w:tc>
      </w:tr>
      <w:tr>
        <w:trPr>
          <w:trHeight w:val="855" w:hRule="atLeast"/>
        </w:trPr>
        <w:tc>
          <w:tcPr>
            <w:tcW w:w="871" w:type="dxa"/>
            <w:vMerge w:val="continue"/>
            <w:tcBorders>
              <w:top w:val="nil"/>
            </w:tcBorders>
            <w:vAlign w:val="top"/>
          </w:tcPr>
          <w:p>
            <w:pPr>
              <w:rPr>
                <w:rFonts w:ascii="Arial"/>
                <w:sz w:val="21"/>
              </w:rPr>
            </w:pPr>
          </w:p>
        </w:tc>
        <w:tc>
          <w:tcPr>
            <w:tcW w:w="5422" w:type="dxa"/>
            <w:vMerge w:val="continue"/>
            <w:tcBorders>
              <w:top w:val="nil"/>
            </w:tcBorders>
            <w:vAlign w:val="top"/>
          </w:tcPr>
          <w:p>
            <w:pPr>
              <w:spacing w:before="119" w:line="321" w:lineRule="auto"/>
              <w:ind w:right="54" w:firstLine="504" w:firstLineChars="200"/>
              <w:rPr>
                <w:rFonts w:ascii="宋体" w:hAnsi="宋体" w:eastAsia="宋体" w:cs="宋体"/>
                <w:spacing w:val="11"/>
                <w:sz w:val="23"/>
                <w:szCs w:val="23"/>
              </w:rPr>
            </w:pP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《工程建设项目勘察设计招 标投标办法》第四十三条</w:t>
            </w:r>
          </w:p>
        </w:tc>
      </w:tr>
      <w:tr>
        <w:trPr>
          <w:trHeight w:val="854" w:hRule="atLeast"/>
        </w:trPr>
        <w:tc>
          <w:tcPr>
            <w:tcW w:w="871" w:type="dxa"/>
            <w:vAlign w:val="top"/>
          </w:tcPr>
          <w:p>
            <w:pPr>
              <w:spacing w:line="314"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32</w:t>
            </w:r>
          </w:p>
        </w:tc>
        <w:tc>
          <w:tcPr>
            <w:tcW w:w="5422" w:type="dxa"/>
            <w:vAlign w:val="top"/>
          </w:tcPr>
          <w:p>
            <w:pPr>
              <w:spacing w:before="119" w:line="321" w:lineRule="auto"/>
              <w:ind w:right="54" w:firstLine="504" w:firstLineChars="200"/>
              <w:rPr>
                <w:rFonts w:ascii="宋体" w:hAnsi="宋体" w:eastAsia="宋体" w:cs="宋体"/>
                <w:spacing w:val="11"/>
                <w:sz w:val="23"/>
                <w:szCs w:val="23"/>
              </w:rPr>
            </w:pPr>
            <w:r>
              <w:rPr>
                <w:rFonts w:ascii="宋体" w:hAnsi="宋体" w:eastAsia="宋体" w:cs="宋体"/>
                <w:spacing w:val="11"/>
                <w:sz w:val="23"/>
                <w:szCs w:val="23"/>
              </w:rPr>
              <w:t>全部或者部分使用非中标单位投标文件中的技术</w:t>
            </w:r>
            <w:r>
              <w:rPr>
                <w:rFonts w:hint="eastAsia" w:ascii="宋体" w:hAnsi="宋体" w:eastAsia="宋体" w:cs="宋体"/>
                <w:spacing w:val="11"/>
                <w:sz w:val="23"/>
                <w:szCs w:val="23"/>
                <w:lang w:eastAsia="zh-CN"/>
              </w:rPr>
              <w:t>成果或技术方案时，未征得其书面同意</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《工程建设项目施工招标投</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标办法》第六十一条</w:t>
            </w:r>
          </w:p>
        </w:tc>
      </w:tr>
      <w:tr>
        <w:trPr>
          <w:trHeight w:val="855" w:hRule="atLeast"/>
        </w:trPr>
        <w:tc>
          <w:tcPr>
            <w:tcW w:w="871" w:type="dxa"/>
            <w:vAlign w:val="top"/>
          </w:tcPr>
          <w:p>
            <w:pPr>
              <w:spacing w:line="315"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33</w:t>
            </w:r>
          </w:p>
        </w:tc>
        <w:tc>
          <w:tcPr>
            <w:tcW w:w="5422" w:type="dxa"/>
            <w:vAlign w:val="top"/>
          </w:tcPr>
          <w:p>
            <w:pPr>
              <w:spacing w:before="119" w:line="321" w:lineRule="auto"/>
              <w:ind w:right="54" w:firstLine="504" w:firstLineChars="200"/>
              <w:rPr>
                <w:rFonts w:ascii="宋体" w:hAnsi="宋体" w:eastAsia="宋体" w:cs="宋体"/>
                <w:spacing w:val="11"/>
                <w:sz w:val="23"/>
                <w:szCs w:val="23"/>
              </w:rPr>
            </w:pPr>
            <w:r>
              <w:rPr>
                <w:rFonts w:ascii="宋体" w:hAnsi="宋体" w:eastAsia="宋体" w:cs="宋体"/>
                <w:spacing w:val="11"/>
                <w:sz w:val="23"/>
                <w:szCs w:val="23"/>
              </w:rPr>
              <w:t>合同的主要条款与招标文件、中标人的投标文件的内容不一致</w:t>
            </w:r>
          </w:p>
        </w:tc>
        <w:tc>
          <w:tcPr>
            <w:tcW w:w="3209" w:type="dxa"/>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法实施条例》第五十七条</w:t>
            </w:r>
          </w:p>
        </w:tc>
      </w:tr>
      <w:tr>
        <w:trPr>
          <w:trHeight w:val="854" w:hRule="atLeast"/>
        </w:trPr>
        <w:tc>
          <w:tcPr>
            <w:tcW w:w="871" w:type="dxa"/>
            <w:vAlign w:val="top"/>
          </w:tcPr>
          <w:p>
            <w:pPr>
              <w:spacing w:line="316"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34</w:t>
            </w:r>
          </w:p>
        </w:tc>
        <w:tc>
          <w:tcPr>
            <w:tcW w:w="5422" w:type="dxa"/>
            <w:vAlign w:val="center"/>
          </w:tcPr>
          <w:p>
            <w:pPr>
              <w:spacing w:before="119" w:line="321" w:lineRule="auto"/>
              <w:ind w:right="54"/>
              <w:jc w:val="center"/>
              <w:rPr>
                <w:rFonts w:ascii="宋体" w:hAnsi="宋体" w:eastAsia="宋体" w:cs="宋体"/>
                <w:spacing w:val="11"/>
                <w:sz w:val="23"/>
                <w:szCs w:val="23"/>
              </w:rPr>
            </w:pPr>
            <w:r>
              <w:rPr>
                <w:rFonts w:ascii="宋体" w:hAnsi="宋体" w:eastAsia="宋体" w:cs="宋体"/>
                <w:spacing w:val="11"/>
                <w:sz w:val="23"/>
                <w:szCs w:val="23"/>
              </w:rPr>
              <w:t>明示或者暗示投标人为特定投标人中标提供方便</w:t>
            </w: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法实施条例》第四十一条</w:t>
            </w:r>
          </w:p>
        </w:tc>
      </w:tr>
      <w:tr>
        <w:trPr>
          <w:trHeight w:val="854" w:hRule="atLeast"/>
        </w:trPr>
        <w:tc>
          <w:tcPr>
            <w:tcW w:w="871" w:type="dxa"/>
            <w:vAlign w:val="top"/>
          </w:tcPr>
          <w:p>
            <w:pPr>
              <w:spacing w:line="316"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35</w:t>
            </w:r>
          </w:p>
        </w:tc>
        <w:tc>
          <w:tcPr>
            <w:tcW w:w="5422" w:type="dxa"/>
            <w:vAlign w:val="center"/>
          </w:tcPr>
          <w:p>
            <w:pPr>
              <w:spacing w:before="119" w:line="321" w:lineRule="auto"/>
              <w:ind w:right="54"/>
              <w:jc w:val="center"/>
              <w:rPr>
                <w:rFonts w:ascii="宋体" w:hAnsi="宋体" w:eastAsia="宋体" w:cs="宋体"/>
                <w:spacing w:val="11"/>
                <w:sz w:val="23"/>
                <w:szCs w:val="23"/>
              </w:rPr>
            </w:pPr>
            <w:r>
              <w:rPr>
                <w:rFonts w:ascii="宋体" w:hAnsi="宋体" w:eastAsia="宋体" w:cs="宋体"/>
                <w:spacing w:val="11"/>
                <w:sz w:val="23"/>
                <w:szCs w:val="23"/>
              </w:rPr>
              <w:t>中标结果确定前，泄露标委员会成员信息</w:t>
            </w: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法》第三十七条</w:t>
            </w:r>
          </w:p>
        </w:tc>
      </w:tr>
      <w:tr>
        <w:trPr>
          <w:trHeight w:val="855" w:hRule="atLeast"/>
        </w:trPr>
        <w:tc>
          <w:tcPr>
            <w:tcW w:w="871" w:type="dxa"/>
            <w:vAlign w:val="top"/>
          </w:tcPr>
          <w:p>
            <w:pPr>
              <w:spacing w:line="317"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36</w:t>
            </w:r>
          </w:p>
        </w:tc>
        <w:tc>
          <w:tcPr>
            <w:tcW w:w="5422" w:type="dxa"/>
            <w:vAlign w:val="center"/>
          </w:tcPr>
          <w:p>
            <w:pPr>
              <w:spacing w:before="119" w:line="321" w:lineRule="auto"/>
              <w:ind w:right="54"/>
              <w:jc w:val="center"/>
              <w:rPr>
                <w:rFonts w:ascii="宋体" w:hAnsi="宋体" w:eastAsia="宋体" w:cs="宋体"/>
                <w:spacing w:val="11"/>
                <w:sz w:val="23"/>
                <w:szCs w:val="23"/>
              </w:rPr>
            </w:pPr>
            <w:r>
              <w:rPr>
                <w:rFonts w:ascii="宋体" w:hAnsi="宋体" w:eastAsia="宋体" w:cs="宋体"/>
                <w:spacing w:val="11"/>
                <w:sz w:val="23"/>
                <w:szCs w:val="23"/>
              </w:rPr>
              <w:t>明示或者暗示投标人压低或者抬高投标报价</w:t>
            </w:r>
          </w:p>
        </w:tc>
        <w:tc>
          <w:tcPr>
            <w:tcW w:w="3209" w:type="dxa"/>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法实施条例》第四十一条</w:t>
            </w:r>
          </w:p>
        </w:tc>
      </w:tr>
      <w:tr>
        <w:trPr>
          <w:trHeight w:val="1207" w:hRule="atLeast"/>
        </w:trPr>
        <w:tc>
          <w:tcPr>
            <w:tcW w:w="871" w:type="dxa"/>
            <w:vAlign w:val="top"/>
          </w:tcPr>
          <w:p>
            <w:pPr>
              <w:spacing w:line="245" w:lineRule="auto"/>
              <w:rPr>
                <w:rFonts w:ascii="Arial"/>
                <w:sz w:val="21"/>
              </w:rPr>
            </w:pPr>
          </w:p>
          <w:p>
            <w:pPr>
              <w:spacing w:line="246" w:lineRule="auto"/>
              <w:rPr>
                <w:rFonts w:ascii="Arial"/>
                <w:sz w:val="21"/>
              </w:rPr>
            </w:pPr>
          </w:p>
          <w:p>
            <w:pPr>
              <w:spacing w:before="66" w:line="195"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37</w:t>
            </w:r>
          </w:p>
        </w:tc>
        <w:tc>
          <w:tcPr>
            <w:tcW w:w="5422" w:type="dxa"/>
            <w:vAlign w:val="top"/>
          </w:tcPr>
          <w:p>
            <w:pPr>
              <w:spacing w:before="119" w:line="321" w:lineRule="auto"/>
              <w:ind w:right="54" w:firstLine="504" w:firstLineChars="200"/>
              <w:rPr>
                <w:rFonts w:ascii="宋体" w:hAnsi="宋体" w:eastAsia="宋体" w:cs="宋体"/>
                <w:spacing w:val="11"/>
                <w:sz w:val="23"/>
                <w:szCs w:val="23"/>
              </w:rPr>
            </w:pPr>
            <w:r>
              <w:rPr>
                <w:rFonts w:ascii="宋体" w:hAnsi="宋体" w:eastAsia="宋体" w:cs="宋体"/>
                <w:spacing w:val="11"/>
                <w:sz w:val="23"/>
                <w:szCs w:val="23"/>
              </w:rPr>
              <w:t>向他人透露已获取招标文件的潜在投标人的名称、数量或者可能影响公平竞争的有关招标投标的其他情况的</w:t>
            </w:r>
          </w:p>
        </w:tc>
        <w:tc>
          <w:tcPr>
            <w:tcW w:w="3209" w:type="dxa"/>
            <w:vAlign w:val="top"/>
          </w:tcPr>
          <w:p>
            <w:pPr>
              <w:spacing w:before="75" w:line="275" w:lineRule="auto"/>
              <w:ind w:right="169"/>
              <w:jc w:val="center"/>
              <w:rPr>
                <w:rFonts w:ascii="宋体" w:hAnsi="宋体" w:eastAsia="宋体" w:cs="宋体"/>
                <w:spacing w:val="22"/>
                <w:sz w:val="23"/>
                <w:szCs w:val="23"/>
              </w:rPr>
            </w:pP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法》第二十二条</w:t>
            </w:r>
          </w:p>
        </w:tc>
      </w:tr>
    </w:tbl>
    <w:p/>
    <w:p>
      <w:pPr>
        <w:spacing w:line="183" w:lineRule="exact"/>
      </w:pPr>
    </w:p>
    <w:p>
      <w:pPr>
        <w:sectPr>
          <w:footerReference r:id="rId10" w:type="default"/>
          <w:pgSz w:w="11906" w:h="16839"/>
          <w:pgMar w:top="1431" w:right="1242" w:bottom="1155"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22"/>
        <w:gridCol w:w="110"/>
        <w:gridCol w:w="3099"/>
      </w:tblGrid>
      <w:tr>
        <w:trPr>
          <w:trHeight w:val="864"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322" w:lineRule="auto"/>
              <w:rPr>
                <w:rFonts w:ascii="Arial"/>
                <w:sz w:val="21"/>
              </w:rPr>
            </w:pPr>
          </w:p>
          <w:p>
            <w:pPr>
              <w:spacing w:before="66" w:line="194"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38</w:t>
            </w:r>
          </w:p>
        </w:tc>
        <w:tc>
          <w:tcPr>
            <w:tcW w:w="5422" w:type="dxa"/>
            <w:tcBorders>
              <w:top w:val="single" w:color="auto" w:sz="4" w:space="0"/>
              <w:left w:val="single" w:color="auto" w:sz="4" w:space="0"/>
              <w:bottom w:val="single" w:color="auto" w:sz="4" w:space="0"/>
              <w:right w:val="single" w:color="auto" w:sz="4" w:space="0"/>
            </w:tcBorders>
            <w:vAlign w:val="center"/>
          </w:tcPr>
          <w:p>
            <w:pPr>
              <w:spacing w:before="119" w:line="321" w:lineRule="auto"/>
              <w:ind w:right="54"/>
              <w:jc w:val="center"/>
              <w:rPr>
                <w:rFonts w:ascii="宋体" w:hAnsi="宋体" w:eastAsia="宋体" w:cs="宋体"/>
                <w:spacing w:val="11"/>
                <w:sz w:val="23"/>
                <w:szCs w:val="23"/>
              </w:rPr>
            </w:pPr>
            <w:r>
              <w:rPr>
                <w:rFonts w:ascii="宋体" w:hAnsi="宋体" w:eastAsia="宋体" w:cs="宋体"/>
                <w:spacing w:val="11"/>
                <w:sz w:val="23"/>
                <w:szCs w:val="23"/>
              </w:rPr>
              <w:t>授意投标人撤换、修改投标文件</w:t>
            </w:r>
          </w:p>
        </w:tc>
        <w:tc>
          <w:tcPr>
            <w:tcW w:w="3209" w:type="dxa"/>
            <w:gridSpan w:val="2"/>
            <w:tcBorders>
              <w:top w:val="single" w:color="auto" w:sz="4" w:space="0"/>
              <w:left w:val="single" w:color="auto" w:sz="4" w:space="0"/>
              <w:bottom w:val="single" w:color="auto" w:sz="4" w:space="0"/>
              <w:right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法实施条例》第四十一条</w:t>
            </w:r>
          </w:p>
        </w:tc>
      </w:tr>
      <w:tr>
        <w:trPr>
          <w:trHeight w:val="1204" w:hRule="atLeast"/>
        </w:trPr>
        <w:tc>
          <w:tcPr>
            <w:tcW w:w="871" w:type="dxa"/>
            <w:tcBorders>
              <w:top w:val="single" w:color="auto" w:sz="4" w:space="0"/>
              <w:left w:val="single" w:color="auto" w:sz="4" w:space="0"/>
              <w:bottom w:val="single" w:color="auto" w:sz="4" w:space="0"/>
              <w:right w:val="single" w:color="auto" w:sz="4" w:space="0"/>
            </w:tcBorders>
            <w:vAlign w:val="top"/>
          </w:tcPr>
          <w:p>
            <w:pPr>
              <w:spacing w:line="243" w:lineRule="auto"/>
              <w:rPr>
                <w:rFonts w:ascii="Arial"/>
                <w:sz w:val="21"/>
              </w:rPr>
            </w:pPr>
          </w:p>
          <w:p>
            <w:pPr>
              <w:spacing w:line="243" w:lineRule="auto"/>
              <w:rPr>
                <w:rFonts w:ascii="Arial"/>
                <w:sz w:val="21"/>
              </w:rPr>
            </w:pPr>
          </w:p>
          <w:p>
            <w:pPr>
              <w:spacing w:before="66" w:line="195" w:lineRule="auto"/>
              <w:ind w:left="322"/>
              <w:rPr>
                <w:rFonts w:ascii="Times New Roman" w:hAnsi="Times New Roman" w:eastAsia="Times New Roman" w:cs="Times New Roman"/>
                <w:sz w:val="23"/>
                <w:szCs w:val="23"/>
              </w:rPr>
            </w:pPr>
            <w:r>
              <w:rPr>
                <w:rFonts w:ascii="Times New Roman" w:hAnsi="Times New Roman" w:eastAsia="Times New Roman" w:cs="Times New Roman"/>
                <w:sz w:val="23"/>
                <w:szCs w:val="23"/>
              </w:rPr>
              <w:t>39</w:t>
            </w:r>
          </w:p>
        </w:tc>
        <w:tc>
          <w:tcPr>
            <w:tcW w:w="5422" w:type="dxa"/>
            <w:tcBorders>
              <w:top w:val="single" w:color="auto" w:sz="4" w:space="0"/>
              <w:left w:val="single" w:color="auto" w:sz="4" w:space="0"/>
              <w:bottom w:val="single" w:color="auto" w:sz="4" w:space="0"/>
              <w:right w:val="single" w:color="auto" w:sz="4" w:space="0"/>
            </w:tcBorders>
            <w:vAlign w:val="top"/>
          </w:tcPr>
          <w:p>
            <w:pPr>
              <w:spacing w:before="119" w:line="321" w:lineRule="auto"/>
              <w:ind w:right="54" w:firstLine="504" w:firstLineChars="200"/>
              <w:rPr>
                <w:rFonts w:ascii="宋体" w:hAnsi="宋体" w:eastAsia="宋体" w:cs="宋体"/>
                <w:spacing w:val="11"/>
                <w:sz w:val="23"/>
                <w:szCs w:val="23"/>
              </w:rPr>
            </w:pPr>
            <w:r>
              <w:rPr>
                <w:rFonts w:ascii="宋体" w:hAnsi="宋体" w:eastAsia="宋体" w:cs="宋体"/>
                <w:spacing w:val="11"/>
                <w:sz w:val="23"/>
                <w:szCs w:val="23"/>
              </w:rPr>
              <w:t>依法必须进行招标的项目的招标人不按照规定组建评标委员会，或者确定、更换评标委员会成员违反招标投标法和招标投标法实施条例规定</w:t>
            </w:r>
          </w:p>
        </w:tc>
        <w:tc>
          <w:tcPr>
            <w:tcW w:w="3209" w:type="dxa"/>
            <w:gridSpan w:val="2"/>
            <w:tcBorders>
              <w:top w:val="single" w:color="auto" w:sz="4" w:space="0"/>
              <w:left w:val="single" w:color="auto" w:sz="4" w:space="0"/>
              <w:bottom w:val="single" w:color="auto" w:sz="4" w:space="0"/>
              <w:right w:val="single" w:color="auto" w:sz="4" w:space="0"/>
            </w:tcBorders>
            <w:vAlign w:val="top"/>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法实施条例》第四十六条</w:t>
            </w:r>
          </w:p>
        </w:tc>
      </w:tr>
      <w:tr>
        <w:trPr>
          <w:trHeight w:val="855" w:hRule="atLeast"/>
        </w:trPr>
        <w:tc>
          <w:tcPr>
            <w:tcW w:w="871" w:type="dxa"/>
            <w:vMerge w:val="restart"/>
            <w:tcBorders>
              <w:top w:val="single" w:color="auto" w:sz="4" w:space="0"/>
              <w:left w:val="single" w:color="auto" w:sz="4" w:space="0"/>
              <w:bottom w:val="single" w:color="auto" w:sz="4" w:space="0"/>
              <w:right w:val="single" w:color="auto" w:sz="4"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66" w:line="194"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40</w:t>
            </w:r>
          </w:p>
        </w:tc>
        <w:tc>
          <w:tcPr>
            <w:tcW w:w="5422" w:type="dxa"/>
            <w:vMerge w:val="restart"/>
            <w:tcBorders>
              <w:top w:val="single" w:color="auto" w:sz="4" w:space="0"/>
              <w:left w:val="single" w:color="auto" w:sz="4" w:space="0"/>
              <w:bottom w:val="single" w:color="auto" w:sz="4" w:space="0"/>
              <w:right w:val="single" w:color="auto" w:sz="4" w:space="0"/>
            </w:tcBorders>
            <w:vAlign w:val="center"/>
          </w:tcPr>
          <w:p>
            <w:pPr>
              <w:spacing w:before="119" w:line="321" w:lineRule="auto"/>
              <w:ind w:right="54"/>
              <w:jc w:val="center"/>
              <w:rPr>
                <w:rFonts w:ascii="宋体" w:hAnsi="宋体" w:eastAsia="宋体" w:cs="宋体"/>
                <w:spacing w:val="11"/>
                <w:sz w:val="23"/>
                <w:szCs w:val="23"/>
              </w:rPr>
            </w:pPr>
            <w:r>
              <w:rPr>
                <w:rFonts w:ascii="宋体" w:hAnsi="宋体" w:eastAsia="宋体" w:cs="宋体"/>
                <w:spacing w:val="11"/>
                <w:sz w:val="23"/>
                <w:szCs w:val="23"/>
              </w:rPr>
              <w:t>与投标人有利害关系的人进入相关项目的评标委 员会未予以更换的</w:t>
            </w:r>
          </w:p>
        </w:tc>
        <w:tc>
          <w:tcPr>
            <w:tcW w:w="3209" w:type="dxa"/>
            <w:gridSpan w:val="2"/>
            <w:tcBorders>
              <w:top w:val="single" w:color="auto" w:sz="4" w:space="0"/>
              <w:left w:val="single" w:color="auto" w:sz="4" w:space="0"/>
              <w:bottom w:val="single" w:color="auto" w:sz="4" w:space="0"/>
              <w:right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 法》第三十七条</w:t>
            </w:r>
          </w:p>
        </w:tc>
      </w:tr>
      <w:tr>
        <w:trPr>
          <w:trHeight w:val="855" w:hRule="atLeast"/>
        </w:trPr>
        <w:tc>
          <w:tcPr>
            <w:tcW w:w="871" w:type="dxa"/>
            <w:vMerge w:val="continue"/>
            <w:tcBorders>
              <w:top w:val="single" w:color="auto" w:sz="4" w:space="0"/>
              <w:left w:val="single" w:color="auto" w:sz="4" w:space="0"/>
            </w:tcBorders>
            <w:vAlign w:val="top"/>
          </w:tcPr>
          <w:p>
            <w:pPr>
              <w:rPr>
                <w:rFonts w:ascii="Arial"/>
                <w:sz w:val="21"/>
              </w:rPr>
            </w:pPr>
          </w:p>
        </w:tc>
        <w:tc>
          <w:tcPr>
            <w:tcW w:w="5422" w:type="dxa"/>
            <w:vMerge w:val="continue"/>
            <w:tcBorders>
              <w:top w:val="single" w:color="auto" w:sz="4" w:space="0"/>
            </w:tcBorders>
            <w:vAlign w:val="center"/>
          </w:tcPr>
          <w:p>
            <w:pPr>
              <w:jc w:val="center"/>
              <w:rPr>
                <w:rFonts w:ascii="Arial"/>
                <w:sz w:val="21"/>
              </w:rPr>
            </w:pPr>
          </w:p>
        </w:tc>
        <w:tc>
          <w:tcPr>
            <w:tcW w:w="3209" w:type="dxa"/>
            <w:gridSpan w:val="2"/>
            <w:tcBorders>
              <w:top w:val="single" w:color="auto" w:sz="4" w:space="0"/>
            </w:tcBorders>
            <w:vAlign w:val="center"/>
          </w:tcPr>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《中华人民共和国招标投标</w:t>
            </w:r>
          </w:p>
          <w:p>
            <w:pPr>
              <w:spacing w:before="75" w:line="275" w:lineRule="auto"/>
              <w:ind w:right="169"/>
              <w:jc w:val="center"/>
              <w:rPr>
                <w:rFonts w:ascii="宋体" w:hAnsi="宋体" w:eastAsia="宋体" w:cs="宋体"/>
                <w:spacing w:val="22"/>
                <w:sz w:val="23"/>
                <w:szCs w:val="23"/>
              </w:rPr>
            </w:pPr>
            <w:r>
              <w:rPr>
                <w:rFonts w:ascii="宋体" w:hAnsi="宋体" w:eastAsia="宋体" w:cs="宋体"/>
                <w:spacing w:val="22"/>
                <w:sz w:val="23"/>
                <w:szCs w:val="23"/>
              </w:rPr>
              <w:t>法实施条例》第四十八条</w:t>
            </w:r>
          </w:p>
        </w:tc>
      </w:tr>
      <w:tr>
        <w:trPr>
          <w:trHeight w:val="855" w:hRule="atLeast"/>
        </w:trPr>
        <w:tc>
          <w:tcPr>
            <w:tcW w:w="9502" w:type="dxa"/>
            <w:gridSpan w:val="4"/>
            <w:vAlign w:val="top"/>
          </w:tcPr>
          <w:p>
            <w:pPr>
              <w:spacing w:before="307" w:line="236" w:lineRule="auto"/>
              <w:ind w:left="4123"/>
              <w:rPr>
                <w:rFonts w:ascii="宋体" w:hAnsi="宋体" w:eastAsia="宋体" w:cs="宋体"/>
                <w:sz w:val="28"/>
                <w:szCs w:val="28"/>
              </w:rPr>
            </w:pPr>
            <w:r>
              <w:rPr>
                <w:rFonts w:ascii="Times New Roman" w:hAnsi="Times New Roman" w:eastAsia="Times New Roman" w:cs="Times New Roman"/>
                <w:b/>
                <w:bCs/>
                <w:spacing w:val="-12"/>
                <w:sz w:val="28"/>
                <w:szCs w:val="28"/>
              </w:rPr>
              <w:t>2</w:t>
            </w:r>
            <w:r>
              <w:rPr>
                <w:rFonts w:ascii="Times New Roman" w:hAnsi="Times New Roman" w:eastAsia="Times New Roman" w:cs="Times New Roman"/>
                <w:spacing w:val="-12"/>
                <w:sz w:val="28"/>
                <w:szCs w:val="28"/>
              </w:rPr>
              <w:t xml:space="preserve"> </w:t>
            </w:r>
            <w:r>
              <w:rPr>
                <w:rFonts w:ascii="宋体" w:hAnsi="宋体" w:eastAsia="宋体" w:cs="宋体"/>
                <w:spacing w:val="-12"/>
                <w:sz w:val="28"/>
                <w:szCs w:val="28"/>
              </w:rPr>
              <w:t>、投标人</w:t>
            </w:r>
          </w:p>
        </w:tc>
      </w:tr>
      <w:tr>
        <w:trPr>
          <w:trHeight w:val="1204" w:hRule="atLeast"/>
        </w:trPr>
        <w:tc>
          <w:tcPr>
            <w:tcW w:w="871" w:type="dxa"/>
            <w:vAlign w:val="top"/>
          </w:tcPr>
          <w:p>
            <w:pPr>
              <w:spacing w:line="243" w:lineRule="auto"/>
              <w:rPr>
                <w:rFonts w:ascii="Arial"/>
                <w:sz w:val="21"/>
              </w:rPr>
            </w:pPr>
          </w:p>
          <w:p>
            <w:pPr>
              <w:spacing w:line="243" w:lineRule="auto"/>
              <w:rPr>
                <w:rFonts w:ascii="Arial"/>
                <w:sz w:val="21"/>
              </w:rPr>
            </w:pPr>
          </w:p>
          <w:p>
            <w:pPr>
              <w:spacing w:before="66" w:line="195"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41</w:t>
            </w:r>
          </w:p>
        </w:tc>
        <w:tc>
          <w:tcPr>
            <w:tcW w:w="5532" w:type="dxa"/>
            <w:gridSpan w:val="2"/>
            <w:vAlign w:val="top"/>
          </w:tcPr>
          <w:p>
            <w:pPr>
              <w:spacing w:before="116" w:line="227" w:lineRule="auto"/>
              <w:ind w:firstLine="504" w:firstLineChars="200"/>
              <w:rPr>
                <w:rFonts w:ascii="宋体" w:hAnsi="宋体" w:eastAsia="宋体" w:cs="宋体"/>
                <w:sz w:val="23"/>
                <w:szCs w:val="23"/>
              </w:rPr>
            </w:pPr>
            <w:r>
              <w:rPr>
                <w:rFonts w:ascii="宋体" w:hAnsi="宋体" w:eastAsia="宋体" w:cs="宋体"/>
                <w:spacing w:val="11"/>
                <w:sz w:val="23"/>
                <w:szCs w:val="23"/>
              </w:rPr>
              <w:t>不具备承担招标项目的能力；国家有关规定对投标人资格条件或者招标文件对投标人资格条件有规定的，不具备规定的资格条件。</w:t>
            </w:r>
          </w:p>
        </w:tc>
        <w:tc>
          <w:tcPr>
            <w:tcW w:w="3099" w:type="dxa"/>
            <w:vAlign w:val="top"/>
          </w:tcPr>
          <w:p>
            <w:pPr>
              <w:spacing w:before="314" w:line="336" w:lineRule="auto"/>
              <w:ind w:left="716" w:right="107" w:hanging="59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11"/>
                <w:sz w:val="23"/>
                <w:szCs w:val="23"/>
              </w:rPr>
              <w:t>法</w:t>
            </w:r>
            <w:r>
              <w:rPr>
                <w:rFonts w:ascii="宋体" w:hAnsi="宋体" w:eastAsia="宋体" w:cs="宋体"/>
                <w:spacing w:val="8"/>
                <w:sz w:val="23"/>
                <w:szCs w:val="23"/>
              </w:rPr>
              <w:t>》第二十六条</w:t>
            </w:r>
          </w:p>
        </w:tc>
      </w:tr>
      <w:tr>
        <w:trPr>
          <w:trHeight w:val="855" w:hRule="atLeast"/>
        </w:trPr>
        <w:tc>
          <w:tcPr>
            <w:tcW w:w="871" w:type="dxa"/>
            <w:vAlign w:val="top"/>
          </w:tcPr>
          <w:p>
            <w:pPr>
              <w:spacing w:line="315" w:lineRule="auto"/>
              <w:rPr>
                <w:rFonts w:ascii="Arial"/>
                <w:sz w:val="21"/>
              </w:rPr>
            </w:pPr>
          </w:p>
          <w:p>
            <w:pPr>
              <w:spacing w:before="66" w:line="195"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42</w:t>
            </w:r>
          </w:p>
        </w:tc>
        <w:tc>
          <w:tcPr>
            <w:tcW w:w="5532" w:type="dxa"/>
            <w:gridSpan w:val="2"/>
            <w:vAlign w:val="top"/>
          </w:tcPr>
          <w:p>
            <w:pPr>
              <w:spacing w:line="266" w:lineRule="auto"/>
              <w:rPr>
                <w:rFonts w:ascii="Arial"/>
                <w:sz w:val="21"/>
              </w:rPr>
            </w:pPr>
          </w:p>
          <w:p>
            <w:pPr>
              <w:spacing w:before="75" w:line="227" w:lineRule="auto"/>
              <w:ind w:left="736"/>
              <w:rPr>
                <w:rFonts w:ascii="宋体" w:hAnsi="宋体" w:eastAsia="宋体" w:cs="宋体"/>
                <w:sz w:val="23"/>
                <w:szCs w:val="23"/>
              </w:rPr>
            </w:pPr>
            <w:r>
              <w:rPr>
                <w:rFonts w:ascii="宋体" w:hAnsi="宋体" w:eastAsia="宋体" w:cs="宋体"/>
                <w:spacing w:val="16"/>
                <w:sz w:val="23"/>
                <w:szCs w:val="23"/>
              </w:rPr>
              <w:t>未</w:t>
            </w:r>
            <w:r>
              <w:rPr>
                <w:rFonts w:ascii="宋体" w:hAnsi="宋体" w:eastAsia="宋体" w:cs="宋体"/>
                <w:spacing w:val="10"/>
                <w:sz w:val="23"/>
                <w:szCs w:val="23"/>
              </w:rPr>
              <w:t>按</w:t>
            </w:r>
            <w:r>
              <w:rPr>
                <w:rFonts w:ascii="宋体" w:hAnsi="宋体" w:eastAsia="宋体" w:cs="宋体"/>
                <w:spacing w:val="8"/>
                <w:sz w:val="23"/>
                <w:szCs w:val="23"/>
              </w:rPr>
              <w:t>照招标文件的要求编制投标文件。</w:t>
            </w:r>
          </w:p>
        </w:tc>
        <w:tc>
          <w:tcPr>
            <w:tcW w:w="3099" w:type="dxa"/>
            <w:vAlign w:val="top"/>
          </w:tcPr>
          <w:p>
            <w:pPr>
              <w:spacing w:before="144" w:line="276" w:lineRule="auto"/>
              <w:ind w:left="716" w:right="107" w:hanging="59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11"/>
                <w:sz w:val="23"/>
                <w:szCs w:val="23"/>
              </w:rPr>
              <w:t>法</w:t>
            </w:r>
            <w:r>
              <w:rPr>
                <w:rFonts w:ascii="宋体" w:hAnsi="宋体" w:eastAsia="宋体" w:cs="宋体"/>
                <w:spacing w:val="8"/>
                <w:sz w:val="23"/>
                <w:szCs w:val="23"/>
              </w:rPr>
              <w:t>》第二十七条</w:t>
            </w:r>
          </w:p>
        </w:tc>
      </w:tr>
      <w:tr>
        <w:trPr>
          <w:trHeight w:val="1204" w:hRule="atLeast"/>
        </w:trPr>
        <w:tc>
          <w:tcPr>
            <w:tcW w:w="871" w:type="dxa"/>
            <w:vAlign w:val="top"/>
          </w:tcPr>
          <w:p>
            <w:pPr>
              <w:spacing w:line="244" w:lineRule="auto"/>
              <w:rPr>
                <w:rFonts w:ascii="Arial"/>
                <w:sz w:val="21"/>
              </w:rPr>
            </w:pPr>
          </w:p>
          <w:p>
            <w:pPr>
              <w:spacing w:line="245" w:lineRule="auto"/>
              <w:rPr>
                <w:rFonts w:ascii="Arial"/>
                <w:sz w:val="21"/>
              </w:rPr>
            </w:pPr>
          </w:p>
          <w:p>
            <w:pPr>
              <w:spacing w:before="67" w:line="194"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43</w:t>
            </w:r>
          </w:p>
        </w:tc>
        <w:tc>
          <w:tcPr>
            <w:tcW w:w="5532" w:type="dxa"/>
            <w:gridSpan w:val="2"/>
            <w:vAlign w:val="top"/>
          </w:tcPr>
          <w:p>
            <w:pPr>
              <w:spacing w:before="116" w:line="227" w:lineRule="auto"/>
              <w:ind w:firstLine="504" w:firstLineChars="200"/>
              <w:rPr>
                <w:rFonts w:ascii="宋体" w:hAnsi="宋体" w:eastAsia="宋体" w:cs="宋体"/>
                <w:sz w:val="23"/>
                <w:szCs w:val="23"/>
              </w:rPr>
            </w:pPr>
            <w:r>
              <w:rPr>
                <w:rFonts w:ascii="宋体" w:hAnsi="宋体" w:eastAsia="宋体" w:cs="宋体"/>
                <w:spacing w:val="11"/>
                <w:sz w:val="23"/>
                <w:szCs w:val="23"/>
              </w:rPr>
              <w:t>未在招标文件要求提交投标文件的截止时间前，将投标文件送达投标地点。在招标文件要求提交投标文件的截止时间后送达投标文件。</w:t>
            </w:r>
          </w:p>
        </w:tc>
        <w:tc>
          <w:tcPr>
            <w:tcW w:w="3099" w:type="dxa"/>
            <w:vAlign w:val="top"/>
          </w:tcPr>
          <w:p>
            <w:pPr>
              <w:rPr>
                <w:rFonts w:ascii="Arial"/>
                <w:sz w:val="21"/>
              </w:rPr>
            </w:pPr>
          </w:p>
          <w:p>
            <w:pPr>
              <w:spacing w:before="75" w:line="336" w:lineRule="auto"/>
              <w:ind w:left="716" w:right="107" w:hanging="59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11"/>
                <w:sz w:val="23"/>
                <w:szCs w:val="23"/>
              </w:rPr>
              <w:t>法</w:t>
            </w:r>
            <w:r>
              <w:rPr>
                <w:rFonts w:ascii="宋体" w:hAnsi="宋体" w:eastAsia="宋体" w:cs="宋体"/>
                <w:spacing w:val="8"/>
                <w:sz w:val="23"/>
                <w:szCs w:val="23"/>
              </w:rPr>
              <w:t>》第二十八条</w:t>
            </w:r>
          </w:p>
        </w:tc>
      </w:tr>
      <w:tr>
        <w:trPr>
          <w:trHeight w:val="1204" w:hRule="atLeast"/>
        </w:trPr>
        <w:tc>
          <w:tcPr>
            <w:tcW w:w="871" w:type="dxa"/>
            <w:vAlign w:val="top"/>
          </w:tcPr>
          <w:p>
            <w:pPr>
              <w:spacing w:line="244" w:lineRule="auto"/>
              <w:rPr>
                <w:rFonts w:ascii="Arial"/>
                <w:sz w:val="21"/>
              </w:rPr>
            </w:pPr>
          </w:p>
          <w:p>
            <w:pPr>
              <w:spacing w:line="245" w:lineRule="auto"/>
              <w:rPr>
                <w:rFonts w:ascii="Arial"/>
                <w:sz w:val="21"/>
              </w:rPr>
            </w:pPr>
          </w:p>
          <w:p>
            <w:pPr>
              <w:spacing w:before="66" w:line="195"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44</w:t>
            </w:r>
          </w:p>
        </w:tc>
        <w:tc>
          <w:tcPr>
            <w:tcW w:w="5532" w:type="dxa"/>
            <w:gridSpan w:val="2"/>
            <w:vAlign w:val="top"/>
          </w:tcPr>
          <w:p>
            <w:pPr>
              <w:spacing w:before="116" w:line="227" w:lineRule="auto"/>
              <w:ind w:firstLine="504" w:firstLineChars="200"/>
              <w:rPr>
                <w:rFonts w:ascii="宋体" w:hAnsi="宋体" w:eastAsia="宋体" w:cs="宋体"/>
                <w:spacing w:val="17"/>
                <w:sz w:val="23"/>
                <w:szCs w:val="23"/>
              </w:rPr>
            </w:pPr>
            <w:r>
              <w:rPr>
                <w:rFonts w:ascii="宋体" w:hAnsi="宋体" w:eastAsia="宋体" w:cs="宋体"/>
                <w:spacing w:val="11"/>
                <w:sz w:val="23"/>
                <w:szCs w:val="23"/>
              </w:rPr>
              <w:t>根据招标文件载明的项目实际情况，拟在中标后将中标项目的部分非主体、非关键性工作进行分包的，未在投标文件中载明。</w:t>
            </w:r>
          </w:p>
        </w:tc>
        <w:tc>
          <w:tcPr>
            <w:tcW w:w="3099" w:type="dxa"/>
            <w:vAlign w:val="top"/>
          </w:tcPr>
          <w:p>
            <w:pPr>
              <w:spacing w:line="241" w:lineRule="auto"/>
              <w:rPr>
                <w:rFonts w:ascii="Arial"/>
                <w:sz w:val="21"/>
              </w:rPr>
            </w:pPr>
          </w:p>
          <w:p>
            <w:pPr>
              <w:spacing w:before="74" w:line="336" w:lineRule="auto"/>
              <w:ind w:left="836" w:right="107" w:hanging="7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9"/>
                <w:sz w:val="23"/>
                <w:szCs w:val="23"/>
              </w:rPr>
              <w:t>法</w:t>
            </w:r>
            <w:r>
              <w:rPr>
                <w:rFonts w:ascii="宋体" w:hAnsi="宋体" w:eastAsia="宋体" w:cs="宋体"/>
                <w:spacing w:val="8"/>
                <w:sz w:val="23"/>
                <w:szCs w:val="23"/>
              </w:rPr>
              <w:t>》第三十条</w:t>
            </w:r>
          </w:p>
        </w:tc>
      </w:tr>
      <w:tr>
        <w:trPr>
          <w:trHeight w:val="1005" w:hRule="atLeast"/>
        </w:trPr>
        <w:tc>
          <w:tcPr>
            <w:tcW w:w="871"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6" w:line="194"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45</w:t>
            </w:r>
          </w:p>
        </w:tc>
        <w:tc>
          <w:tcPr>
            <w:tcW w:w="5532" w:type="dxa"/>
            <w:gridSpan w:val="2"/>
            <w:vMerge w:val="restart"/>
            <w:tcBorders>
              <w:bottom w:val="nil"/>
            </w:tcBorders>
            <w:vAlign w:val="center"/>
          </w:tcPr>
          <w:p>
            <w:pPr>
              <w:spacing w:before="116" w:line="227" w:lineRule="auto"/>
              <w:ind w:firstLine="504" w:firstLineChars="200"/>
              <w:jc w:val="both"/>
              <w:rPr>
                <w:rFonts w:ascii="宋体" w:hAnsi="宋体" w:eastAsia="宋体" w:cs="宋体"/>
                <w:spacing w:val="17"/>
                <w:sz w:val="23"/>
                <w:szCs w:val="23"/>
              </w:rPr>
            </w:pPr>
            <w:r>
              <w:rPr>
                <w:rFonts w:ascii="宋体" w:hAnsi="宋体" w:eastAsia="宋体" w:cs="宋体"/>
                <w:spacing w:val="11"/>
                <w:sz w:val="23"/>
                <w:szCs w:val="23"/>
              </w:rPr>
              <w:t>相互串通投标。投标人相互串通投标报价，排挤其 他投标人的公平竞争，损害招标人或者其他投标人 的合法权益。投标人以向招标人或者评标委员会成员行贿的手段谋取中标。</w:t>
            </w:r>
          </w:p>
        </w:tc>
        <w:tc>
          <w:tcPr>
            <w:tcW w:w="3099" w:type="dxa"/>
            <w:vAlign w:val="center"/>
          </w:tcPr>
          <w:p>
            <w:pPr>
              <w:spacing w:before="220" w:line="315" w:lineRule="auto"/>
              <w:ind w:right="107"/>
              <w:jc w:val="center"/>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11"/>
                <w:sz w:val="23"/>
                <w:szCs w:val="23"/>
              </w:rPr>
              <w:t>法</w:t>
            </w:r>
            <w:r>
              <w:rPr>
                <w:rFonts w:ascii="宋体" w:hAnsi="宋体" w:eastAsia="宋体" w:cs="宋体"/>
                <w:spacing w:val="8"/>
                <w:sz w:val="23"/>
                <w:szCs w:val="23"/>
              </w:rPr>
              <w:t>》第三十二条</w:t>
            </w:r>
          </w:p>
        </w:tc>
      </w:tr>
      <w:tr>
        <w:trPr>
          <w:trHeight w:val="805" w:hRule="atLeast"/>
        </w:trPr>
        <w:tc>
          <w:tcPr>
            <w:tcW w:w="871" w:type="dxa"/>
            <w:vMerge w:val="continue"/>
            <w:tcBorders>
              <w:top w:val="nil"/>
            </w:tcBorders>
            <w:vAlign w:val="top"/>
          </w:tcPr>
          <w:p>
            <w:pPr>
              <w:rPr>
                <w:rFonts w:ascii="Arial"/>
                <w:sz w:val="21"/>
              </w:rPr>
            </w:pPr>
          </w:p>
        </w:tc>
        <w:tc>
          <w:tcPr>
            <w:tcW w:w="5532" w:type="dxa"/>
            <w:gridSpan w:val="2"/>
            <w:vMerge w:val="continue"/>
            <w:tcBorders>
              <w:top w:val="nil"/>
            </w:tcBorders>
            <w:vAlign w:val="center"/>
          </w:tcPr>
          <w:p>
            <w:pPr>
              <w:jc w:val="center"/>
              <w:rPr>
                <w:rFonts w:ascii="Arial"/>
                <w:sz w:val="21"/>
              </w:rPr>
            </w:pPr>
          </w:p>
        </w:tc>
        <w:tc>
          <w:tcPr>
            <w:tcW w:w="3099" w:type="dxa"/>
            <w:vAlign w:val="center"/>
          </w:tcPr>
          <w:p>
            <w:pPr>
              <w:spacing w:before="119" w:line="274" w:lineRule="auto"/>
              <w:ind w:left="236" w:right="107" w:hanging="115"/>
              <w:jc w:val="center"/>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9"/>
                <w:sz w:val="23"/>
                <w:szCs w:val="23"/>
              </w:rPr>
              <w:t>法实施条例》第三十九条</w:t>
            </w:r>
          </w:p>
        </w:tc>
      </w:tr>
      <w:tr>
        <w:trPr>
          <w:trHeight w:val="855" w:hRule="atLeast"/>
        </w:trPr>
        <w:tc>
          <w:tcPr>
            <w:tcW w:w="871" w:type="dxa"/>
            <w:vAlign w:val="top"/>
          </w:tcPr>
          <w:p>
            <w:pPr>
              <w:spacing w:line="318" w:lineRule="auto"/>
              <w:rPr>
                <w:rFonts w:ascii="Arial"/>
                <w:sz w:val="21"/>
              </w:rPr>
            </w:pPr>
          </w:p>
          <w:p>
            <w:pPr>
              <w:spacing w:before="66" w:line="194"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46</w:t>
            </w:r>
          </w:p>
        </w:tc>
        <w:tc>
          <w:tcPr>
            <w:tcW w:w="5532" w:type="dxa"/>
            <w:gridSpan w:val="2"/>
            <w:vAlign w:val="top"/>
          </w:tcPr>
          <w:p>
            <w:pPr>
              <w:spacing w:before="116" w:line="227" w:lineRule="auto"/>
              <w:ind w:firstLine="528" w:firstLineChars="200"/>
              <w:rPr>
                <w:rFonts w:ascii="宋体" w:hAnsi="宋体" w:eastAsia="宋体" w:cs="宋体"/>
                <w:spacing w:val="17"/>
                <w:sz w:val="23"/>
                <w:szCs w:val="23"/>
              </w:rPr>
            </w:pPr>
            <w:r>
              <w:rPr>
                <w:rFonts w:ascii="宋体" w:hAnsi="宋体" w:eastAsia="宋体" w:cs="宋体"/>
                <w:spacing w:val="17"/>
                <w:sz w:val="23"/>
                <w:szCs w:val="23"/>
              </w:rPr>
              <w:t>以低于成本的报价竞标，以他人名义投标或者以其 他方式弄虚作假，骗取中标。</w:t>
            </w:r>
          </w:p>
        </w:tc>
        <w:tc>
          <w:tcPr>
            <w:tcW w:w="3099" w:type="dxa"/>
            <w:vAlign w:val="top"/>
          </w:tcPr>
          <w:p>
            <w:pPr>
              <w:spacing w:before="146" w:line="276" w:lineRule="auto"/>
              <w:ind w:left="716" w:right="107" w:hanging="59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11"/>
                <w:sz w:val="23"/>
                <w:szCs w:val="23"/>
              </w:rPr>
              <w:t>法</w:t>
            </w:r>
            <w:r>
              <w:rPr>
                <w:rFonts w:ascii="宋体" w:hAnsi="宋体" w:eastAsia="宋体" w:cs="宋体"/>
                <w:spacing w:val="8"/>
                <w:sz w:val="23"/>
                <w:szCs w:val="23"/>
              </w:rPr>
              <w:t>》第三十三条</w:t>
            </w:r>
          </w:p>
        </w:tc>
      </w:tr>
      <w:tr>
        <w:trPr>
          <w:trHeight w:val="857" w:hRule="atLeast"/>
        </w:trPr>
        <w:tc>
          <w:tcPr>
            <w:tcW w:w="871" w:type="dxa"/>
            <w:vAlign w:val="top"/>
          </w:tcPr>
          <w:p>
            <w:pPr>
              <w:spacing w:line="316" w:lineRule="auto"/>
              <w:rPr>
                <w:rFonts w:ascii="Arial"/>
                <w:sz w:val="21"/>
              </w:rPr>
            </w:pPr>
          </w:p>
          <w:p>
            <w:pPr>
              <w:spacing w:before="66" w:line="195"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47</w:t>
            </w:r>
          </w:p>
        </w:tc>
        <w:tc>
          <w:tcPr>
            <w:tcW w:w="5532" w:type="dxa"/>
            <w:gridSpan w:val="2"/>
            <w:vAlign w:val="top"/>
          </w:tcPr>
          <w:p>
            <w:pPr>
              <w:spacing w:before="116" w:line="227" w:lineRule="auto"/>
              <w:ind w:firstLine="528" w:firstLineChars="200"/>
              <w:rPr>
                <w:rFonts w:ascii="宋体" w:hAnsi="宋体" w:eastAsia="宋体" w:cs="宋体"/>
                <w:spacing w:val="17"/>
                <w:sz w:val="23"/>
                <w:szCs w:val="23"/>
              </w:rPr>
            </w:pPr>
            <w:r>
              <w:rPr>
                <w:rFonts w:ascii="宋体" w:hAnsi="宋体" w:eastAsia="宋体" w:cs="宋体"/>
                <w:spacing w:val="17"/>
                <w:sz w:val="23"/>
                <w:szCs w:val="23"/>
              </w:rPr>
              <w:t>与招标人存在利害关系可能影响招标公正性的法人、其他组织或者个人参加投标。</w:t>
            </w:r>
          </w:p>
        </w:tc>
        <w:tc>
          <w:tcPr>
            <w:tcW w:w="3099" w:type="dxa"/>
            <w:vAlign w:val="top"/>
          </w:tcPr>
          <w:p>
            <w:pPr>
              <w:spacing w:before="144" w:line="401" w:lineRule="exact"/>
              <w:ind w:left="121"/>
              <w:rPr>
                <w:rFonts w:ascii="宋体" w:hAnsi="宋体" w:eastAsia="宋体" w:cs="宋体"/>
                <w:sz w:val="23"/>
                <w:szCs w:val="23"/>
              </w:rPr>
            </w:pPr>
            <w:r>
              <w:rPr>
                <w:rFonts w:ascii="宋体" w:hAnsi="宋体" w:eastAsia="宋体" w:cs="宋体"/>
                <w:spacing w:val="16"/>
                <w:position w:val="12"/>
                <w:sz w:val="23"/>
                <w:szCs w:val="23"/>
              </w:rPr>
              <w:t>《</w:t>
            </w:r>
            <w:r>
              <w:rPr>
                <w:rFonts w:ascii="宋体" w:hAnsi="宋体" w:eastAsia="宋体" w:cs="宋体"/>
                <w:spacing w:val="8"/>
                <w:position w:val="12"/>
                <w:sz w:val="23"/>
                <w:szCs w:val="23"/>
              </w:rPr>
              <w:t>中华人民共和国招标投标</w:t>
            </w:r>
          </w:p>
          <w:p>
            <w:pPr>
              <w:spacing w:line="227" w:lineRule="auto"/>
              <w:ind w:left="236"/>
              <w:rPr>
                <w:rFonts w:ascii="宋体" w:hAnsi="宋体" w:eastAsia="宋体" w:cs="宋体"/>
                <w:sz w:val="23"/>
                <w:szCs w:val="23"/>
              </w:rPr>
            </w:pPr>
            <w:r>
              <w:rPr>
                <w:rFonts w:ascii="宋体" w:hAnsi="宋体" w:eastAsia="宋体" w:cs="宋体"/>
                <w:spacing w:val="9"/>
                <w:sz w:val="23"/>
                <w:szCs w:val="23"/>
              </w:rPr>
              <w:t>法实施条例》第三十四条</w:t>
            </w:r>
          </w:p>
        </w:tc>
      </w:tr>
    </w:tbl>
    <w:p>
      <w:pPr>
        <w:rPr>
          <w:rFonts w:ascii="Arial"/>
          <w:sz w:val="21"/>
        </w:rPr>
      </w:pPr>
    </w:p>
    <w:p>
      <w:pPr>
        <w:sectPr>
          <w:footerReference r:id="rId11" w:type="default"/>
          <w:pgSz w:w="11906" w:h="16839"/>
          <w:pgMar w:top="1431" w:right="1242" w:bottom="1157"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479"/>
        <w:gridCol w:w="3152"/>
      </w:tblGrid>
      <w:tr>
        <w:trPr>
          <w:trHeight w:val="859" w:hRule="atLeast"/>
        </w:trPr>
        <w:tc>
          <w:tcPr>
            <w:tcW w:w="871" w:type="dxa"/>
            <w:vAlign w:val="top"/>
          </w:tcPr>
          <w:p>
            <w:pPr>
              <w:spacing w:line="317" w:lineRule="auto"/>
              <w:rPr>
                <w:rFonts w:ascii="Arial"/>
                <w:sz w:val="21"/>
              </w:rPr>
            </w:pPr>
          </w:p>
          <w:p>
            <w:pPr>
              <w:spacing w:before="66" w:line="194"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48</w:t>
            </w:r>
          </w:p>
        </w:tc>
        <w:tc>
          <w:tcPr>
            <w:tcW w:w="5479" w:type="dxa"/>
            <w:vAlign w:val="center"/>
          </w:tcPr>
          <w:p>
            <w:pPr>
              <w:spacing w:before="116" w:line="227" w:lineRule="auto"/>
              <w:ind w:firstLine="528" w:firstLineChars="200"/>
              <w:jc w:val="both"/>
              <w:rPr>
                <w:rFonts w:ascii="宋体" w:hAnsi="宋体" w:eastAsia="宋体" w:cs="宋体"/>
                <w:spacing w:val="17"/>
                <w:sz w:val="23"/>
                <w:szCs w:val="23"/>
              </w:rPr>
            </w:pPr>
            <w:r>
              <w:rPr>
                <w:rFonts w:ascii="宋体" w:hAnsi="宋体" w:eastAsia="宋体" w:cs="宋体"/>
                <w:spacing w:val="17"/>
                <w:sz w:val="23"/>
                <w:szCs w:val="23"/>
              </w:rPr>
              <w:t>发生合并、分立、破产等重大变化的，未及时书面告知招标人。</w:t>
            </w:r>
          </w:p>
        </w:tc>
        <w:tc>
          <w:tcPr>
            <w:tcW w:w="3152" w:type="dxa"/>
            <w:vAlign w:val="center"/>
          </w:tcPr>
          <w:p>
            <w:pPr>
              <w:spacing w:before="139" w:line="401" w:lineRule="exact"/>
              <w:jc w:val="center"/>
              <w:rPr>
                <w:rFonts w:ascii="宋体" w:hAnsi="宋体" w:eastAsia="宋体" w:cs="宋体"/>
                <w:spacing w:val="17"/>
                <w:sz w:val="23"/>
                <w:szCs w:val="23"/>
              </w:rPr>
            </w:pPr>
            <w:r>
              <w:rPr>
                <w:rFonts w:ascii="宋体" w:hAnsi="宋体" w:eastAsia="宋体" w:cs="宋体"/>
                <w:spacing w:val="17"/>
                <w:sz w:val="23"/>
                <w:szCs w:val="23"/>
              </w:rPr>
              <w:t>《中华人民共和国招标投标</w:t>
            </w:r>
          </w:p>
          <w:p>
            <w:pPr>
              <w:spacing w:before="139" w:line="401" w:lineRule="exact"/>
              <w:jc w:val="center"/>
              <w:rPr>
                <w:rFonts w:ascii="宋体" w:hAnsi="宋体" w:eastAsia="宋体" w:cs="宋体"/>
                <w:sz w:val="23"/>
                <w:szCs w:val="23"/>
              </w:rPr>
            </w:pPr>
            <w:r>
              <w:rPr>
                <w:rFonts w:ascii="宋体" w:hAnsi="宋体" w:eastAsia="宋体" w:cs="宋体"/>
                <w:spacing w:val="17"/>
                <w:sz w:val="23"/>
                <w:szCs w:val="23"/>
              </w:rPr>
              <w:t>法实施条例》第三十八条</w:t>
            </w:r>
          </w:p>
        </w:tc>
      </w:tr>
      <w:tr>
        <w:trPr>
          <w:trHeight w:val="854" w:hRule="atLeast"/>
        </w:trPr>
        <w:tc>
          <w:tcPr>
            <w:tcW w:w="871" w:type="dxa"/>
            <w:vAlign w:val="top"/>
          </w:tcPr>
          <w:p>
            <w:pPr>
              <w:spacing w:line="311" w:lineRule="auto"/>
              <w:rPr>
                <w:rFonts w:ascii="Arial"/>
                <w:sz w:val="21"/>
              </w:rPr>
            </w:pPr>
          </w:p>
          <w:p>
            <w:pPr>
              <w:spacing w:before="67" w:line="195" w:lineRule="auto"/>
              <w:ind w:left="316"/>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49</w:t>
            </w:r>
          </w:p>
        </w:tc>
        <w:tc>
          <w:tcPr>
            <w:tcW w:w="5479" w:type="dxa"/>
            <w:vAlign w:val="center"/>
          </w:tcPr>
          <w:p>
            <w:pPr>
              <w:spacing w:before="116" w:line="227" w:lineRule="auto"/>
              <w:jc w:val="center"/>
              <w:rPr>
                <w:rFonts w:ascii="宋体" w:hAnsi="宋体" w:eastAsia="宋体" w:cs="宋体"/>
                <w:spacing w:val="17"/>
                <w:sz w:val="23"/>
                <w:szCs w:val="23"/>
              </w:rPr>
            </w:pPr>
            <w:r>
              <w:rPr>
                <w:rFonts w:ascii="宋体" w:hAnsi="宋体" w:eastAsia="宋体" w:cs="宋体"/>
                <w:spacing w:val="17"/>
                <w:sz w:val="23"/>
                <w:szCs w:val="23"/>
              </w:rPr>
              <w:t>与招标人串通投标</w:t>
            </w:r>
          </w:p>
        </w:tc>
        <w:tc>
          <w:tcPr>
            <w:tcW w:w="3152" w:type="dxa"/>
            <w:vAlign w:val="center"/>
          </w:tcPr>
          <w:p>
            <w:pPr>
              <w:spacing w:before="139" w:line="401" w:lineRule="exact"/>
              <w:jc w:val="center"/>
              <w:rPr>
                <w:rFonts w:ascii="宋体" w:hAnsi="宋体" w:eastAsia="宋体" w:cs="宋体"/>
                <w:sz w:val="23"/>
                <w:szCs w:val="23"/>
              </w:rPr>
            </w:pPr>
            <w:r>
              <w:rPr>
                <w:rFonts w:ascii="宋体" w:hAnsi="宋体" w:eastAsia="宋体" w:cs="宋体"/>
                <w:spacing w:val="17"/>
                <w:sz w:val="23"/>
                <w:szCs w:val="23"/>
              </w:rPr>
              <w:t>《中华人民共和国招标投标法实施条例》第四十一条</w:t>
            </w:r>
          </w:p>
        </w:tc>
      </w:tr>
      <w:tr>
        <w:trPr>
          <w:trHeight w:val="805" w:hRule="atLeast"/>
        </w:trPr>
        <w:tc>
          <w:tcPr>
            <w:tcW w:w="871" w:type="dxa"/>
            <w:vMerge w:val="restart"/>
            <w:tcBorders>
              <w:bottom w:val="nil"/>
            </w:tcBorders>
            <w:vAlign w:val="top"/>
          </w:tcPr>
          <w:p>
            <w:pPr>
              <w:spacing w:line="346" w:lineRule="auto"/>
              <w:rPr>
                <w:rFonts w:ascii="Arial"/>
                <w:sz w:val="21"/>
              </w:rPr>
            </w:pPr>
          </w:p>
          <w:p>
            <w:pPr>
              <w:spacing w:line="346"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50</w:t>
            </w:r>
          </w:p>
        </w:tc>
        <w:tc>
          <w:tcPr>
            <w:tcW w:w="5479" w:type="dxa"/>
            <w:vMerge w:val="restart"/>
            <w:tcBorders>
              <w:bottom w:val="nil"/>
            </w:tcBorders>
            <w:vAlign w:val="top"/>
          </w:tcPr>
          <w:p>
            <w:pPr>
              <w:spacing w:before="116" w:line="227" w:lineRule="auto"/>
              <w:ind w:firstLine="528" w:firstLineChars="200"/>
              <w:rPr>
                <w:rFonts w:ascii="宋体" w:hAnsi="宋体" w:eastAsia="宋体" w:cs="宋体"/>
                <w:spacing w:val="17"/>
                <w:sz w:val="23"/>
                <w:szCs w:val="23"/>
              </w:rPr>
            </w:pPr>
          </w:p>
          <w:p>
            <w:pPr>
              <w:spacing w:before="116" w:line="227" w:lineRule="auto"/>
              <w:ind w:firstLine="528" w:firstLineChars="200"/>
              <w:rPr>
                <w:rFonts w:ascii="宋体" w:hAnsi="宋体" w:eastAsia="宋体" w:cs="宋体"/>
                <w:spacing w:val="17"/>
                <w:sz w:val="23"/>
                <w:szCs w:val="23"/>
              </w:rPr>
            </w:pPr>
            <w:r>
              <w:rPr>
                <w:rFonts w:ascii="宋体" w:hAnsi="宋体" w:eastAsia="宋体" w:cs="宋体"/>
                <w:spacing w:val="17"/>
                <w:sz w:val="23"/>
                <w:szCs w:val="23"/>
              </w:rPr>
              <w:t>使用通过受让或者租借等方式获取的资格、资质证 书投标的，以他人名义投标。</w:t>
            </w:r>
          </w:p>
        </w:tc>
        <w:tc>
          <w:tcPr>
            <w:tcW w:w="3152" w:type="dxa"/>
            <w:vAlign w:val="top"/>
          </w:tcPr>
          <w:p>
            <w:pPr>
              <w:spacing w:before="116" w:line="400" w:lineRule="exact"/>
              <w:ind w:left="121"/>
              <w:rPr>
                <w:rFonts w:ascii="宋体" w:hAnsi="宋体" w:eastAsia="宋体" w:cs="宋体"/>
                <w:sz w:val="23"/>
                <w:szCs w:val="23"/>
              </w:rPr>
            </w:pPr>
            <w:r>
              <w:rPr>
                <w:rFonts w:ascii="宋体" w:hAnsi="宋体" w:eastAsia="宋体" w:cs="宋体"/>
                <w:spacing w:val="16"/>
                <w:position w:val="12"/>
                <w:sz w:val="23"/>
                <w:szCs w:val="23"/>
              </w:rPr>
              <w:t>《</w:t>
            </w:r>
            <w:r>
              <w:rPr>
                <w:rFonts w:ascii="宋体" w:hAnsi="宋体" w:eastAsia="宋体" w:cs="宋体"/>
                <w:spacing w:val="8"/>
                <w:position w:val="12"/>
                <w:sz w:val="23"/>
                <w:szCs w:val="23"/>
              </w:rPr>
              <w:t>中华人民共和国招标投标</w:t>
            </w:r>
          </w:p>
          <w:p>
            <w:pPr>
              <w:spacing w:line="227" w:lineRule="auto"/>
              <w:ind w:left="236"/>
              <w:rPr>
                <w:rFonts w:ascii="宋体" w:hAnsi="宋体" w:eastAsia="宋体" w:cs="宋体"/>
                <w:sz w:val="23"/>
                <w:szCs w:val="23"/>
              </w:rPr>
            </w:pPr>
            <w:r>
              <w:rPr>
                <w:rFonts w:ascii="宋体" w:hAnsi="宋体" w:eastAsia="宋体" w:cs="宋体"/>
                <w:spacing w:val="9"/>
                <w:sz w:val="23"/>
                <w:szCs w:val="23"/>
              </w:rPr>
              <w:t>法实施条例》第四十二条</w:t>
            </w:r>
          </w:p>
        </w:tc>
      </w:tr>
      <w:tr>
        <w:trPr>
          <w:trHeight w:val="805" w:hRule="atLeast"/>
        </w:trPr>
        <w:tc>
          <w:tcPr>
            <w:tcW w:w="871" w:type="dxa"/>
            <w:vMerge w:val="continue"/>
            <w:tcBorders>
              <w:top w:val="nil"/>
            </w:tcBorders>
            <w:vAlign w:val="top"/>
          </w:tcPr>
          <w:p>
            <w:pPr>
              <w:rPr>
                <w:rFonts w:ascii="Arial"/>
                <w:sz w:val="21"/>
              </w:rPr>
            </w:pPr>
          </w:p>
        </w:tc>
        <w:tc>
          <w:tcPr>
            <w:tcW w:w="5479" w:type="dxa"/>
            <w:vMerge w:val="continue"/>
            <w:tcBorders>
              <w:top w:val="nil"/>
            </w:tcBorders>
            <w:vAlign w:val="top"/>
          </w:tcPr>
          <w:p>
            <w:pPr>
              <w:rPr>
                <w:rFonts w:ascii="Arial"/>
                <w:sz w:val="21"/>
              </w:rPr>
            </w:pPr>
          </w:p>
        </w:tc>
        <w:tc>
          <w:tcPr>
            <w:tcW w:w="3152" w:type="dxa"/>
            <w:vAlign w:val="top"/>
          </w:tcPr>
          <w:p>
            <w:pPr>
              <w:spacing w:before="117" w:line="276" w:lineRule="auto"/>
              <w:ind w:right="107"/>
              <w:jc w:val="center"/>
              <w:rPr>
                <w:rFonts w:ascii="宋体" w:hAnsi="宋体" w:eastAsia="宋体" w:cs="宋体"/>
                <w:sz w:val="23"/>
                <w:szCs w:val="23"/>
              </w:rPr>
            </w:pPr>
            <w:r>
              <w:rPr>
                <w:rFonts w:ascii="宋体" w:hAnsi="宋体" w:eastAsia="宋体" w:cs="宋体"/>
                <w:spacing w:val="17"/>
                <w:sz w:val="23"/>
                <w:szCs w:val="23"/>
              </w:rPr>
              <w:t>《中华人民共和国招标投标 法》第三十三条</w:t>
            </w:r>
          </w:p>
        </w:tc>
      </w:tr>
      <w:tr>
        <w:trPr>
          <w:trHeight w:val="854" w:hRule="atLeast"/>
        </w:trPr>
        <w:tc>
          <w:tcPr>
            <w:tcW w:w="9502" w:type="dxa"/>
            <w:gridSpan w:val="3"/>
            <w:vAlign w:val="top"/>
          </w:tcPr>
          <w:p>
            <w:pPr>
              <w:spacing w:before="306" w:line="236" w:lineRule="auto"/>
              <w:ind w:left="3979"/>
              <w:rPr>
                <w:rFonts w:ascii="宋体" w:hAnsi="宋体" w:eastAsia="宋体" w:cs="宋体"/>
                <w:sz w:val="28"/>
                <w:szCs w:val="28"/>
              </w:rPr>
            </w:pPr>
            <w:r>
              <w:rPr>
                <w:rFonts w:ascii="Times New Roman" w:hAnsi="Times New Roman" w:eastAsia="Times New Roman" w:cs="Times New Roman"/>
                <w:b/>
                <w:bCs/>
                <w:spacing w:val="-10"/>
                <w:sz w:val="28"/>
                <w:szCs w:val="28"/>
              </w:rPr>
              <w:t>3</w:t>
            </w:r>
            <w:r>
              <w:rPr>
                <w:rFonts w:ascii="Times New Roman" w:hAnsi="Times New Roman" w:eastAsia="Times New Roman" w:cs="Times New Roman"/>
                <w:spacing w:val="-10"/>
                <w:sz w:val="28"/>
                <w:szCs w:val="28"/>
              </w:rPr>
              <w:t xml:space="preserve"> </w:t>
            </w:r>
            <w:r>
              <w:rPr>
                <w:rFonts w:ascii="宋体" w:hAnsi="宋体" w:eastAsia="宋体" w:cs="宋体"/>
                <w:spacing w:val="-10"/>
                <w:sz w:val="28"/>
                <w:szCs w:val="28"/>
              </w:rPr>
              <w:t>、评标专</w:t>
            </w:r>
            <w:r>
              <w:rPr>
                <w:rFonts w:ascii="宋体" w:hAnsi="宋体" w:eastAsia="宋体" w:cs="宋体"/>
                <w:spacing w:val="-9"/>
                <w:sz w:val="28"/>
                <w:szCs w:val="28"/>
              </w:rPr>
              <w:t>家</w:t>
            </w:r>
          </w:p>
        </w:tc>
      </w:tr>
      <w:tr>
        <w:trPr>
          <w:trHeight w:val="805" w:hRule="atLeast"/>
        </w:trPr>
        <w:tc>
          <w:tcPr>
            <w:tcW w:w="871"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51</w:t>
            </w:r>
          </w:p>
        </w:tc>
        <w:tc>
          <w:tcPr>
            <w:tcW w:w="5479" w:type="dxa"/>
            <w:vMerge w:val="restart"/>
            <w:tcBorders>
              <w:bottom w:val="nil"/>
            </w:tcBorders>
            <w:vAlign w:val="top"/>
          </w:tcPr>
          <w:p>
            <w:pPr>
              <w:spacing w:line="272" w:lineRule="auto"/>
              <w:rPr>
                <w:rFonts w:ascii="Arial"/>
                <w:sz w:val="21"/>
              </w:rPr>
            </w:pPr>
          </w:p>
          <w:p>
            <w:pPr>
              <w:spacing w:before="75" w:line="228" w:lineRule="auto"/>
              <w:ind w:left="114" w:firstLine="528" w:firstLineChars="200"/>
              <w:rPr>
                <w:rFonts w:ascii="宋体" w:hAnsi="宋体" w:eastAsia="宋体" w:cs="宋体"/>
                <w:sz w:val="23"/>
                <w:szCs w:val="23"/>
              </w:rPr>
            </w:pPr>
            <w:r>
              <w:rPr>
                <w:rFonts w:ascii="宋体" w:hAnsi="宋体" w:eastAsia="宋体" w:cs="宋体"/>
                <w:spacing w:val="17"/>
                <w:sz w:val="23"/>
                <w:szCs w:val="23"/>
              </w:rPr>
              <w:t>私下接触投标人，收受投标人的财物或者其他好处。评标委员会成员和参与评标的有关工作人员透露对投标文件的评审和比较、中标候选人的推荐情况以 及与评标有关的其他情况。</w:t>
            </w:r>
          </w:p>
        </w:tc>
        <w:tc>
          <w:tcPr>
            <w:tcW w:w="3152" w:type="dxa"/>
            <w:vAlign w:val="top"/>
          </w:tcPr>
          <w:p>
            <w:pPr>
              <w:spacing w:before="119" w:line="275" w:lineRule="auto"/>
              <w:ind w:left="716" w:right="107" w:hanging="59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11"/>
                <w:sz w:val="23"/>
                <w:szCs w:val="23"/>
              </w:rPr>
              <w:t>法</w:t>
            </w:r>
            <w:r>
              <w:rPr>
                <w:rFonts w:ascii="宋体" w:hAnsi="宋体" w:eastAsia="宋体" w:cs="宋体"/>
                <w:spacing w:val="8"/>
                <w:sz w:val="23"/>
                <w:szCs w:val="23"/>
              </w:rPr>
              <w:t>》第四十四条</w:t>
            </w:r>
          </w:p>
        </w:tc>
      </w:tr>
      <w:tr>
        <w:trPr>
          <w:trHeight w:val="1259" w:hRule="atLeast"/>
        </w:trPr>
        <w:tc>
          <w:tcPr>
            <w:tcW w:w="871" w:type="dxa"/>
            <w:vMerge w:val="continue"/>
            <w:tcBorders>
              <w:top w:val="nil"/>
            </w:tcBorders>
            <w:vAlign w:val="top"/>
          </w:tcPr>
          <w:p>
            <w:pPr>
              <w:rPr>
                <w:rFonts w:ascii="Arial"/>
                <w:sz w:val="21"/>
              </w:rPr>
            </w:pPr>
          </w:p>
        </w:tc>
        <w:tc>
          <w:tcPr>
            <w:tcW w:w="5479" w:type="dxa"/>
            <w:vMerge w:val="continue"/>
            <w:tcBorders>
              <w:top w:val="nil"/>
            </w:tcBorders>
            <w:vAlign w:val="top"/>
          </w:tcPr>
          <w:p>
            <w:pPr>
              <w:rPr>
                <w:rFonts w:ascii="Arial"/>
                <w:sz w:val="21"/>
              </w:rPr>
            </w:pPr>
          </w:p>
        </w:tc>
        <w:tc>
          <w:tcPr>
            <w:tcW w:w="3152" w:type="dxa"/>
            <w:vAlign w:val="top"/>
          </w:tcPr>
          <w:p>
            <w:pPr>
              <w:spacing w:before="143" w:line="322" w:lineRule="auto"/>
              <w:ind w:left="128" w:right="107" w:hanging="7"/>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评标委员会和评标方法暂</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10"/>
                <w:sz w:val="23"/>
                <w:szCs w:val="23"/>
              </w:rPr>
              <w:t>规</w:t>
            </w:r>
            <w:r>
              <w:rPr>
                <w:rFonts w:ascii="宋体" w:hAnsi="宋体" w:eastAsia="宋体" w:cs="宋体"/>
                <w:spacing w:val="6"/>
                <w:sz w:val="23"/>
                <w:szCs w:val="23"/>
              </w:rPr>
              <w:t>定</w:t>
            </w:r>
            <w:r>
              <w:rPr>
                <w:rFonts w:ascii="Times New Roman" w:hAnsi="Times New Roman" w:eastAsia="Times New Roman" w:cs="Times New Roman"/>
                <w:spacing w:val="6"/>
                <w:sz w:val="23"/>
                <w:szCs w:val="23"/>
              </w:rPr>
              <w:t xml:space="preserve">(2013 </w:t>
            </w:r>
            <w:r>
              <w:rPr>
                <w:rFonts w:ascii="宋体" w:hAnsi="宋体" w:eastAsia="宋体" w:cs="宋体"/>
                <w:spacing w:val="6"/>
                <w:sz w:val="23"/>
                <w:szCs w:val="23"/>
              </w:rPr>
              <w:t>修正</w:t>
            </w:r>
            <w:r>
              <w:rPr>
                <w:rFonts w:ascii="Times New Roman" w:hAnsi="Times New Roman" w:eastAsia="Times New Roman" w:cs="Times New Roman"/>
                <w:spacing w:val="6"/>
                <w:sz w:val="23"/>
                <w:szCs w:val="23"/>
              </w:rPr>
              <w:t>)</w:t>
            </w:r>
            <w:r>
              <w:rPr>
                <w:rFonts w:ascii="宋体" w:hAnsi="宋体" w:eastAsia="宋体" w:cs="宋体"/>
                <w:spacing w:val="6"/>
                <w:sz w:val="23"/>
                <w:szCs w:val="23"/>
              </w:rPr>
              <w:t>》第十三</w:t>
            </w:r>
          </w:p>
          <w:p>
            <w:pPr>
              <w:spacing w:line="227" w:lineRule="auto"/>
              <w:ind w:left="957"/>
              <w:rPr>
                <w:rFonts w:ascii="宋体" w:hAnsi="宋体" w:eastAsia="宋体" w:cs="宋体"/>
                <w:sz w:val="23"/>
                <w:szCs w:val="23"/>
              </w:rPr>
            </w:pPr>
            <w:r>
              <w:rPr>
                <w:rFonts w:ascii="宋体" w:hAnsi="宋体" w:eastAsia="宋体" w:cs="宋体"/>
                <w:spacing w:val="10"/>
                <w:sz w:val="23"/>
                <w:szCs w:val="23"/>
              </w:rPr>
              <w:t>条</w:t>
            </w:r>
            <w:r>
              <w:rPr>
                <w:rFonts w:ascii="宋体" w:hAnsi="宋体" w:eastAsia="宋体" w:cs="宋体"/>
                <w:spacing w:val="7"/>
                <w:sz w:val="23"/>
                <w:szCs w:val="23"/>
              </w:rPr>
              <w:t>、十四条</w:t>
            </w:r>
          </w:p>
        </w:tc>
      </w:tr>
      <w:tr>
        <w:trPr>
          <w:trHeight w:val="855" w:hRule="atLeast"/>
        </w:trPr>
        <w:tc>
          <w:tcPr>
            <w:tcW w:w="871" w:type="dxa"/>
            <w:vAlign w:val="top"/>
          </w:tcPr>
          <w:p>
            <w:pPr>
              <w:spacing w:line="317"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52</w:t>
            </w:r>
          </w:p>
        </w:tc>
        <w:tc>
          <w:tcPr>
            <w:tcW w:w="5479" w:type="dxa"/>
            <w:vAlign w:val="top"/>
          </w:tcPr>
          <w:p>
            <w:pPr>
              <w:spacing w:line="267" w:lineRule="auto"/>
              <w:rPr>
                <w:rFonts w:ascii="Arial"/>
                <w:sz w:val="21"/>
              </w:rPr>
            </w:pPr>
          </w:p>
          <w:p>
            <w:pPr>
              <w:spacing w:before="75" w:line="228" w:lineRule="auto"/>
              <w:ind w:left="737"/>
              <w:rPr>
                <w:rFonts w:ascii="宋体" w:hAnsi="宋体" w:eastAsia="宋体" w:cs="宋体"/>
                <w:sz w:val="23"/>
                <w:szCs w:val="23"/>
              </w:rPr>
            </w:pPr>
            <w:r>
              <w:rPr>
                <w:rFonts w:ascii="宋体" w:hAnsi="宋体" w:eastAsia="宋体" w:cs="宋体"/>
                <w:spacing w:val="16"/>
                <w:sz w:val="23"/>
                <w:szCs w:val="23"/>
              </w:rPr>
              <w:t>与</w:t>
            </w:r>
            <w:r>
              <w:rPr>
                <w:rFonts w:ascii="宋体" w:hAnsi="宋体" w:eastAsia="宋体" w:cs="宋体"/>
                <w:spacing w:val="9"/>
                <w:sz w:val="23"/>
                <w:szCs w:val="23"/>
              </w:rPr>
              <w:t>投</w:t>
            </w:r>
            <w:r>
              <w:rPr>
                <w:rFonts w:ascii="宋体" w:hAnsi="宋体" w:eastAsia="宋体" w:cs="宋体"/>
                <w:spacing w:val="8"/>
                <w:sz w:val="23"/>
                <w:szCs w:val="23"/>
              </w:rPr>
              <w:t>标人有利害关系的，未主动回避。</w:t>
            </w:r>
          </w:p>
        </w:tc>
        <w:tc>
          <w:tcPr>
            <w:tcW w:w="3152" w:type="dxa"/>
            <w:vAlign w:val="top"/>
          </w:tcPr>
          <w:p>
            <w:pPr>
              <w:spacing w:before="143" w:line="274" w:lineRule="auto"/>
              <w:ind w:left="236" w:right="107" w:hanging="11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中华人民共和国招标投标</w:t>
            </w:r>
            <w:r>
              <w:rPr>
                <w:rFonts w:ascii="宋体" w:hAnsi="宋体" w:eastAsia="宋体" w:cs="宋体"/>
                <w:sz w:val="23"/>
                <w:szCs w:val="23"/>
              </w:rPr>
              <w:t xml:space="preserve"> </w:t>
            </w:r>
            <w:r>
              <w:rPr>
                <w:rFonts w:ascii="宋体" w:hAnsi="宋体" w:eastAsia="宋体" w:cs="宋体"/>
                <w:spacing w:val="9"/>
                <w:sz w:val="23"/>
                <w:szCs w:val="23"/>
              </w:rPr>
              <w:t>法实施条例》第四十六条</w:t>
            </w:r>
          </w:p>
        </w:tc>
      </w:tr>
      <w:tr>
        <w:trPr>
          <w:trHeight w:val="855" w:hRule="atLeast"/>
        </w:trPr>
        <w:tc>
          <w:tcPr>
            <w:tcW w:w="871" w:type="dxa"/>
            <w:vAlign w:val="top"/>
          </w:tcPr>
          <w:p>
            <w:pPr>
              <w:spacing w:line="317"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53</w:t>
            </w:r>
          </w:p>
        </w:tc>
        <w:tc>
          <w:tcPr>
            <w:tcW w:w="5479" w:type="dxa"/>
            <w:vAlign w:val="center"/>
          </w:tcPr>
          <w:p>
            <w:pPr>
              <w:spacing w:before="75" w:line="228" w:lineRule="auto"/>
              <w:ind w:left="114" w:firstLine="528" w:firstLineChars="200"/>
              <w:jc w:val="both"/>
              <w:rPr>
                <w:rFonts w:ascii="宋体" w:hAnsi="宋体" w:eastAsia="宋体" w:cs="宋体"/>
                <w:sz w:val="23"/>
                <w:szCs w:val="23"/>
              </w:rPr>
            </w:pPr>
            <w:r>
              <w:rPr>
                <w:rFonts w:ascii="宋体" w:hAnsi="宋体" w:eastAsia="宋体" w:cs="宋体"/>
                <w:spacing w:val="17"/>
                <w:sz w:val="23"/>
                <w:szCs w:val="23"/>
              </w:rPr>
              <w:t>暗示或者诱导投标人作出澄清、说明，接受投标人主动提出的澄清、说明。</w:t>
            </w:r>
          </w:p>
        </w:tc>
        <w:tc>
          <w:tcPr>
            <w:tcW w:w="3152" w:type="dxa"/>
            <w:vAlign w:val="center"/>
          </w:tcPr>
          <w:p>
            <w:pPr>
              <w:spacing w:before="143" w:line="401" w:lineRule="exact"/>
              <w:ind w:left="121"/>
              <w:jc w:val="center"/>
              <w:rPr>
                <w:rFonts w:ascii="宋体" w:hAnsi="宋体" w:eastAsia="宋体" w:cs="宋体"/>
                <w:sz w:val="23"/>
                <w:szCs w:val="23"/>
              </w:rPr>
            </w:pPr>
            <w:r>
              <w:rPr>
                <w:rFonts w:ascii="宋体" w:hAnsi="宋体" w:eastAsia="宋体" w:cs="宋体"/>
                <w:spacing w:val="16"/>
                <w:position w:val="12"/>
                <w:sz w:val="23"/>
                <w:szCs w:val="23"/>
              </w:rPr>
              <w:t>《</w:t>
            </w:r>
            <w:r>
              <w:rPr>
                <w:rFonts w:ascii="宋体" w:hAnsi="宋体" w:eastAsia="宋体" w:cs="宋体"/>
                <w:spacing w:val="8"/>
                <w:position w:val="12"/>
                <w:sz w:val="23"/>
                <w:szCs w:val="23"/>
              </w:rPr>
              <w:t>中华人民共和国招标投标</w:t>
            </w:r>
          </w:p>
          <w:p>
            <w:pPr>
              <w:spacing w:line="227" w:lineRule="auto"/>
              <w:ind w:left="236"/>
              <w:jc w:val="center"/>
              <w:rPr>
                <w:rFonts w:ascii="宋体" w:hAnsi="宋体" w:eastAsia="宋体" w:cs="宋体"/>
                <w:sz w:val="23"/>
                <w:szCs w:val="23"/>
              </w:rPr>
            </w:pPr>
            <w:r>
              <w:rPr>
                <w:rFonts w:ascii="宋体" w:hAnsi="宋体" w:eastAsia="宋体" w:cs="宋体"/>
                <w:spacing w:val="9"/>
                <w:sz w:val="23"/>
                <w:szCs w:val="23"/>
              </w:rPr>
              <w:t>法实施条例》第五十二条</w:t>
            </w:r>
          </w:p>
        </w:tc>
      </w:tr>
      <w:tr>
        <w:trPr>
          <w:trHeight w:val="2004" w:hRule="atLeast"/>
        </w:trPr>
        <w:tc>
          <w:tcPr>
            <w:tcW w:w="871"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54</w:t>
            </w:r>
          </w:p>
        </w:tc>
        <w:tc>
          <w:tcPr>
            <w:tcW w:w="5479" w:type="dxa"/>
            <w:vAlign w:val="top"/>
          </w:tcPr>
          <w:p>
            <w:pPr>
              <w:spacing w:line="319" w:lineRule="auto"/>
              <w:rPr>
                <w:rFonts w:ascii="Arial"/>
                <w:sz w:val="21"/>
              </w:rPr>
            </w:pPr>
          </w:p>
          <w:p>
            <w:pPr>
              <w:spacing w:line="320" w:lineRule="auto"/>
              <w:rPr>
                <w:rFonts w:ascii="Arial"/>
                <w:sz w:val="21"/>
              </w:rPr>
            </w:pPr>
          </w:p>
          <w:p>
            <w:pPr>
              <w:spacing w:before="75" w:line="333" w:lineRule="auto"/>
              <w:ind w:right="124" w:firstLine="528" w:firstLineChars="200"/>
              <w:rPr>
                <w:rFonts w:ascii="宋体" w:hAnsi="宋体" w:eastAsia="宋体" w:cs="宋体"/>
                <w:sz w:val="23"/>
                <w:szCs w:val="23"/>
              </w:rPr>
            </w:pPr>
            <w:r>
              <w:rPr>
                <w:rFonts w:ascii="宋体" w:hAnsi="宋体" w:eastAsia="宋体" w:cs="宋体"/>
                <w:spacing w:val="17"/>
                <w:sz w:val="23"/>
                <w:szCs w:val="23"/>
              </w:rPr>
              <w:t>评标专家对不同所有制投标人打分畸高或畸低</w:t>
            </w:r>
            <w:r>
              <w:rPr>
                <w:rFonts w:hint="eastAsia" w:ascii="宋体" w:hAnsi="宋体" w:eastAsia="宋体" w:cs="宋体"/>
                <w:spacing w:val="17"/>
                <w:sz w:val="23"/>
                <w:szCs w:val="23"/>
                <w:lang w:eastAsia="zh-CN"/>
              </w:rPr>
              <w:t>，</w:t>
            </w:r>
            <w:r>
              <w:rPr>
                <w:rFonts w:ascii="宋体" w:hAnsi="宋体" w:eastAsia="宋体" w:cs="宋体"/>
                <w:spacing w:val="17"/>
                <w:sz w:val="23"/>
                <w:szCs w:val="23"/>
              </w:rPr>
              <w:t>且无法说明正当理由</w:t>
            </w:r>
          </w:p>
        </w:tc>
        <w:tc>
          <w:tcPr>
            <w:tcW w:w="3152" w:type="dxa"/>
            <w:vAlign w:val="top"/>
          </w:tcPr>
          <w:p>
            <w:pPr>
              <w:spacing w:before="119" w:line="321" w:lineRule="auto"/>
              <w:ind w:left="115" w:right="107" w:firstLine="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关于印发工程项目招投标</w:t>
            </w:r>
            <w:r>
              <w:rPr>
                <w:rFonts w:ascii="宋体" w:hAnsi="宋体" w:eastAsia="宋体" w:cs="宋体"/>
                <w:sz w:val="23"/>
                <w:szCs w:val="23"/>
              </w:rPr>
              <w:t xml:space="preserve"> </w:t>
            </w:r>
            <w:r>
              <w:rPr>
                <w:rFonts w:ascii="宋体" w:hAnsi="宋体" w:eastAsia="宋体" w:cs="宋体"/>
                <w:spacing w:val="11"/>
                <w:sz w:val="23"/>
                <w:szCs w:val="23"/>
              </w:rPr>
              <w:t>领</w:t>
            </w:r>
            <w:r>
              <w:rPr>
                <w:rFonts w:ascii="宋体" w:hAnsi="宋体" w:eastAsia="宋体" w:cs="宋体"/>
                <w:spacing w:val="9"/>
                <w:sz w:val="23"/>
                <w:szCs w:val="23"/>
              </w:rPr>
              <w:t>域营商环境专项整治工作</w:t>
            </w:r>
            <w:r>
              <w:rPr>
                <w:rFonts w:ascii="宋体" w:hAnsi="宋体" w:eastAsia="宋体" w:cs="宋体"/>
                <w:sz w:val="23"/>
                <w:szCs w:val="23"/>
              </w:rPr>
              <w:t xml:space="preserve"> </w:t>
            </w:r>
            <w:r>
              <w:rPr>
                <w:rFonts w:ascii="宋体" w:hAnsi="宋体" w:eastAsia="宋体" w:cs="宋体"/>
                <w:spacing w:val="-1"/>
                <w:sz w:val="23"/>
                <w:szCs w:val="23"/>
              </w:rPr>
              <w:t>方案的通知</w:t>
            </w:r>
            <w:r>
              <w:rPr>
                <w:rFonts w:ascii="宋体" w:hAnsi="宋体" w:eastAsia="宋体" w:cs="宋体"/>
                <w:sz w:val="23"/>
                <w:szCs w:val="23"/>
              </w:rPr>
              <w:t>》  (发改办法规</w:t>
            </w:r>
          </w:p>
          <w:p>
            <w:pPr>
              <w:spacing w:line="226" w:lineRule="auto"/>
              <w:ind w:left="178"/>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2</w:t>
            </w:r>
            <w:r>
              <w:rPr>
                <w:rFonts w:ascii="Times New Roman" w:hAnsi="Times New Roman" w:eastAsia="Times New Roman" w:cs="Times New Roman"/>
                <w:spacing w:val="4"/>
                <w:sz w:val="23"/>
                <w:szCs w:val="23"/>
              </w:rPr>
              <w:t>019</w:t>
            </w:r>
            <w:r>
              <w:rPr>
                <w:rFonts w:ascii="宋体" w:hAnsi="宋体" w:eastAsia="宋体" w:cs="宋体"/>
                <w:spacing w:val="4"/>
                <w:sz w:val="23"/>
                <w:szCs w:val="23"/>
              </w:rPr>
              <w:t>〕</w:t>
            </w:r>
            <w:r>
              <w:rPr>
                <w:rFonts w:ascii="Times New Roman" w:hAnsi="Times New Roman" w:eastAsia="Times New Roman" w:cs="Times New Roman"/>
                <w:spacing w:val="4"/>
                <w:sz w:val="23"/>
                <w:szCs w:val="23"/>
              </w:rPr>
              <w:t xml:space="preserve">862 </w:t>
            </w:r>
            <w:r>
              <w:rPr>
                <w:rFonts w:ascii="宋体" w:hAnsi="宋体" w:eastAsia="宋体" w:cs="宋体"/>
                <w:spacing w:val="4"/>
                <w:sz w:val="23"/>
                <w:szCs w:val="23"/>
              </w:rPr>
              <w:t>号) 附件第二</w:t>
            </w:r>
          </w:p>
          <w:p>
            <w:pPr>
              <w:spacing w:before="118" w:line="227" w:lineRule="auto"/>
              <w:ind w:left="463"/>
              <w:rPr>
                <w:rFonts w:ascii="宋体" w:hAnsi="宋体" w:eastAsia="宋体" w:cs="宋体"/>
                <w:sz w:val="23"/>
                <w:szCs w:val="23"/>
              </w:rPr>
            </w:pPr>
            <w:r>
              <w:rPr>
                <w:rFonts w:ascii="宋体" w:hAnsi="宋体" w:eastAsia="宋体" w:cs="宋体"/>
                <w:spacing w:val="23"/>
                <w:sz w:val="23"/>
                <w:szCs w:val="23"/>
              </w:rPr>
              <w:t>“整治范围和内容”</w:t>
            </w:r>
          </w:p>
        </w:tc>
      </w:tr>
      <w:tr>
        <w:trPr>
          <w:trHeight w:val="855" w:hRule="atLeast"/>
        </w:trPr>
        <w:tc>
          <w:tcPr>
            <w:tcW w:w="9502" w:type="dxa"/>
            <w:gridSpan w:val="3"/>
            <w:vAlign w:val="top"/>
          </w:tcPr>
          <w:p>
            <w:pPr>
              <w:spacing w:before="309" w:line="236" w:lineRule="auto"/>
              <w:ind w:left="3561"/>
              <w:rPr>
                <w:rFonts w:ascii="宋体" w:hAnsi="宋体" w:eastAsia="宋体" w:cs="宋体"/>
                <w:sz w:val="28"/>
                <w:szCs w:val="28"/>
              </w:rPr>
            </w:pPr>
            <w:r>
              <w:rPr>
                <w:rFonts w:ascii="Times New Roman" w:hAnsi="Times New Roman" w:eastAsia="Times New Roman" w:cs="Times New Roman"/>
                <w:b/>
                <w:bCs/>
                <w:spacing w:val="-7"/>
                <w:sz w:val="28"/>
                <w:szCs w:val="28"/>
              </w:rPr>
              <w:t>4</w:t>
            </w:r>
            <w:r>
              <w:rPr>
                <w:rFonts w:ascii="Times New Roman" w:hAnsi="Times New Roman" w:eastAsia="Times New Roman" w:cs="Times New Roman"/>
                <w:spacing w:val="-7"/>
                <w:sz w:val="28"/>
                <w:szCs w:val="28"/>
              </w:rPr>
              <w:t xml:space="preserve"> </w:t>
            </w:r>
            <w:r>
              <w:rPr>
                <w:rFonts w:ascii="宋体" w:hAnsi="宋体" w:eastAsia="宋体" w:cs="宋体"/>
                <w:spacing w:val="-7"/>
                <w:sz w:val="28"/>
                <w:szCs w:val="28"/>
              </w:rPr>
              <w:t>、任何单位和个</w:t>
            </w:r>
            <w:r>
              <w:rPr>
                <w:rFonts w:ascii="宋体" w:hAnsi="宋体" w:eastAsia="宋体" w:cs="宋体"/>
                <w:spacing w:val="-6"/>
                <w:sz w:val="28"/>
                <w:szCs w:val="28"/>
              </w:rPr>
              <w:t>人</w:t>
            </w:r>
          </w:p>
        </w:tc>
      </w:tr>
      <w:tr>
        <w:trPr>
          <w:trHeight w:val="855" w:hRule="atLeast"/>
        </w:trPr>
        <w:tc>
          <w:tcPr>
            <w:tcW w:w="871" w:type="dxa"/>
            <w:vAlign w:val="top"/>
          </w:tcPr>
          <w:p>
            <w:pPr>
              <w:spacing w:line="320" w:lineRule="auto"/>
              <w:rPr>
                <w:rFonts w:ascii="Arial"/>
                <w:sz w:val="21"/>
              </w:rPr>
            </w:pPr>
          </w:p>
          <w:p>
            <w:pPr>
              <w:spacing w:before="67" w:line="191"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55</w:t>
            </w:r>
          </w:p>
        </w:tc>
        <w:tc>
          <w:tcPr>
            <w:tcW w:w="5479" w:type="dxa"/>
            <w:vAlign w:val="top"/>
          </w:tcPr>
          <w:p>
            <w:pPr>
              <w:spacing w:line="266" w:lineRule="auto"/>
              <w:rPr>
                <w:rFonts w:ascii="Arial"/>
                <w:sz w:val="21"/>
              </w:rPr>
            </w:pPr>
          </w:p>
          <w:p>
            <w:pPr>
              <w:spacing w:before="75" w:line="227" w:lineRule="auto"/>
              <w:ind w:left="856"/>
              <w:rPr>
                <w:rFonts w:ascii="宋体" w:hAnsi="宋体" w:eastAsia="宋体" w:cs="宋体"/>
                <w:sz w:val="23"/>
                <w:szCs w:val="23"/>
              </w:rPr>
            </w:pPr>
            <w:r>
              <w:rPr>
                <w:rFonts w:ascii="宋体" w:hAnsi="宋体" w:eastAsia="宋体" w:cs="宋体"/>
                <w:spacing w:val="16"/>
                <w:sz w:val="23"/>
                <w:szCs w:val="23"/>
              </w:rPr>
              <w:t>非</w:t>
            </w:r>
            <w:r>
              <w:rPr>
                <w:rFonts w:ascii="宋体" w:hAnsi="宋体" w:eastAsia="宋体" w:cs="宋体"/>
                <w:spacing w:val="8"/>
                <w:sz w:val="23"/>
                <w:szCs w:val="23"/>
              </w:rPr>
              <w:t>法干预、影响评标的过程和结果。</w:t>
            </w:r>
          </w:p>
        </w:tc>
        <w:tc>
          <w:tcPr>
            <w:tcW w:w="3152" w:type="dxa"/>
            <w:vAlign w:val="top"/>
          </w:tcPr>
          <w:p>
            <w:pPr>
              <w:spacing w:before="144" w:line="401" w:lineRule="exact"/>
              <w:ind w:left="121"/>
              <w:rPr>
                <w:rFonts w:ascii="宋体" w:hAnsi="宋体" w:eastAsia="宋体" w:cs="宋体"/>
                <w:sz w:val="23"/>
                <w:szCs w:val="23"/>
              </w:rPr>
            </w:pPr>
            <w:r>
              <w:rPr>
                <w:rFonts w:ascii="宋体" w:hAnsi="宋体" w:eastAsia="宋体" w:cs="宋体"/>
                <w:spacing w:val="16"/>
                <w:position w:val="12"/>
                <w:sz w:val="23"/>
                <w:szCs w:val="23"/>
              </w:rPr>
              <w:t>《</w:t>
            </w:r>
            <w:r>
              <w:rPr>
                <w:rFonts w:ascii="宋体" w:hAnsi="宋体" w:eastAsia="宋体" w:cs="宋体"/>
                <w:spacing w:val="8"/>
                <w:position w:val="12"/>
                <w:sz w:val="23"/>
                <w:szCs w:val="23"/>
              </w:rPr>
              <w:t>中华人民共和国招标投标</w:t>
            </w:r>
          </w:p>
          <w:p>
            <w:pPr>
              <w:spacing w:line="233" w:lineRule="auto"/>
              <w:ind w:left="716"/>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》第三十八条</w:t>
            </w:r>
          </w:p>
        </w:tc>
      </w:tr>
      <w:tr>
        <w:trPr>
          <w:trHeight w:val="857" w:hRule="atLeast"/>
        </w:trPr>
        <w:tc>
          <w:tcPr>
            <w:tcW w:w="871" w:type="dxa"/>
            <w:vAlign w:val="top"/>
          </w:tcPr>
          <w:p>
            <w:pPr>
              <w:spacing w:line="316"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56</w:t>
            </w:r>
          </w:p>
        </w:tc>
        <w:tc>
          <w:tcPr>
            <w:tcW w:w="5479" w:type="dxa"/>
            <w:vAlign w:val="center"/>
          </w:tcPr>
          <w:p>
            <w:pPr>
              <w:spacing w:before="75" w:line="333" w:lineRule="auto"/>
              <w:ind w:right="124" w:firstLine="528" w:firstLineChars="200"/>
              <w:jc w:val="both"/>
              <w:rPr>
                <w:rFonts w:ascii="宋体" w:hAnsi="宋体" w:eastAsia="宋体" w:cs="宋体"/>
                <w:sz w:val="23"/>
                <w:szCs w:val="23"/>
              </w:rPr>
            </w:pPr>
            <w:r>
              <w:rPr>
                <w:rFonts w:ascii="宋体" w:hAnsi="宋体" w:eastAsia="宋体" w:cs="宋体"/>
                <w:spacing w:val="17"/>
                <w:sz w:val="23"/>
                <w:szCs w:val="23"/>
              </w:rPr>
              <w:t>非法干涉投标人参加依法必须进行招标的项目的投标。</w:t>
            </w:r>
          </w:p>
        </w:tc>
        <w:tc>
          <w:tcPr>
            <w:tcW w:w="3152" w:type="dxa"/>
            <w:vAlign w:val="center"/>
          </w:tcPr>
          <w:p>
            <w:pPr>
              <w:spacing w:before="143" w:line="401" w:lineRule="exact"/>
              <w:ind w:left="121"/>
              <w:jc w:val="center"/>
              <w:rPr>
                <w:rFonts w:ascii="宋体" w:hAnsi="宋体" w:eastAsia="宋体" w:cs="宋体"/>
                <w:sz w:val="23"/>
                <w:szCs w:val="23"/>
              </w:rPr>
            </w:pPr>
            <w:r>
              <w:rPr>
                <w:rFonts w:ascii="宋体" w:hAnsi="宋体" w:eastAsia="宋体" w:cs="宋体"/>
                <w:spacing w:val="16"/>
                <w:position w:val="12"/>
                <w:sz w:val="23"/>
                <w:szCs w:val="23"/>
              </w:rPr>
              <w:t>《</w:t>
            </w:r>
            <w:r>
              <w:rPr>
                <w:rFonts w:ascii="宋体" w:hAnsi="宋体" w:eastAsia="宋体" w:cs="宋体"/>
                <w:spacing w:val="8"/>
                <w:position w:val="12"/>
                <w:sz w:val="23"/>
                <w:szCs w:val="23"/>
              </w:rPr>
              <w:t>中华人民共和国招标投标</w:t>
            </w:r>
          </w:p>
          <w:p>
            <w:pPr>
              <w:spacing w:line="227" w:lineRule="auto"/>
              <w:ind w:left="236"/>
              <w:jc w:val="center"/>
              <w:rPr>
                <w:rFonts w:ascii="宋体" w:hAnsi="宋体" w:eastAsia="宋体" w:cs="宋体"/>
                <w:sz w:val="23"/>
                <w:szCs w:val="23"/>
              </w:rPr>
            </w:pPr>
            <w:r>
              <w:rPr>
                <w:rFonts w:ascii="宋体" w:hAnsi="宋体" w:eastAsia="宋体" w:cs="宋体"/>
                <w:spacing w:val="9"/>
                <w:sz w:val="23"/>
                <w:szCs w:val="23"/>
              </w:rPr>
              <w:t>法实施条例》第三十三条</w:t>
            </w:r>
          </w:p>
        </w:tc>
      </w:tr>
    </w:tbl>
    <w:p>
      <w:pPr>
        <w:rPr>
          <w:rFonts w:ascii="Arial"/>
          <w:sz w:val="21"/>
        </w:rPr>
      </w:pPr>
    </w:p>
    <w:p>
      <w:pPr>
        <w:sectPr>
          <w:footerReference r:id="rId12" w:type="default"/>
          <w:pgSz w:w="11906" w:h="16839"/>
          <w:pgMar w:top="1431" w:right="1242" w:bottom="1157" w:left="1156" w:header="0" w:footer="994" w:gutter="0"/>
          <w:cols w:space="720" w:num="1"/>
        </w:sectPr>
      </w:pPr>
    </w:p>
    <w:p/>
    <w:p/>
    <w:p>
      <w:pPr>
        <w:spacing w:line="183" w:lineRule="exact"/>
      </w:pPr>
    </w:p>
    <w:tbl>
      <w:tblPr>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5532"/>
        <w:gridCol w:w="3099"/>
      </w:tblGrid>
      <w:tr>
        <w:trPr>
          <w:trHeight w:val="857" w:hRule="atLeast"/>
        </w:trPr>
        <w:tc>
          <w:tcPr>
            <w:tcW w:w="871" w:type="dxa"/>
            <w:vAlign w:val="top"/>
          </w:tcPr>
          <w:p>
            <w:pPr>
              <w:spacing w:line="321" w:lineRule="auto"/>
              <w:rPr>
                <w:rFonts w:ascii="Arial"/>
                <w:sz w:val="21"/>
              </w:rPr>
            </w:pPr>
          </w:p>
          <w:p>
            <w:pPr>
              <w:spacing w:before="66" w:line="191"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57</w:t>
            </w:r>
          </w:p>
        </w:tc>
        <w:tc>
          <w:tcPr>
            <w:tcW w:w="5532" w:type="dxa"/>
            <w:vAlign w:val="top"/>
          </w:tcPr>
          <w:p>
            <w:pPr>
              <w:spacing w:before="144" w:line="401" w:lineRule="exact"/>
              <w:ind w:firstLine="528" w:firstLineChars="200"/>
              <w:rPr>
                <w:rFonts w:ascii="宋体" w:hAnsi="宋体" w:eastAsia="宋体" w:cs="宋体"/>
                <w:sz w:val="23"/>
                <w:szCs w:val="23"/>
              </w:rPr>
            </w:pPr>
            <w:r>
              <w:rPr>
                <w:rFonts w:ascii="宋体" w:hAnsi="宋体" w:eastAsia="宋体" w:cs="宋体"/>
                <w:spacing w:val="17"/>
                <w:sz w:val="23"/>
                <w:szCs w:val="23"/>
              </w:rPr>
              <w:t>以明示、暗示等任何方式指定或者变相指定参加评标委员会的专家成员。</w:t>
            </w:r>
          </w:p>
        </w:tc>
        <w:tc>
          <w:tcPr>
            <w:tcW w:w="3099" w:type="dxa"/>
            <w:vAlign w:val="center"/>
          </w:tcPr>
          <w:p>
            <w:pPr>
              <w:spacing w:before="139" w:line="401" w:lineRule="exact"/>
              <w:jc w:val="center"/>
              <w:rPr>
                <w:rFonts w:ascii="宋体" w:hAnsi="宋体" w:eastAsia="宋体" w:cs="宋体"/>
                <w:spacing w:val="17"/>
                <w:sz w:val="23"/>
                <w:szCs w:val="23"/>
              </w:rPr>
            </w:pPr>
            <w:r>
              <w:rPr>
                <w:rFonts w:ascii="宋体" w:hAnsi="宋体" w:eastAsia="宋体" w:cs="宋体"/>
                <w:spacing w:val="17"/>
                <w:sz w:val="23"/>
                <w:szCs w:val="23"/>
              </w:rPr>
              <w:t>《中华人民共和国招标投标</w:t>
            </w:r>
          </w:p>
          <w:p>
            <w:pPr>
              <w:spacing w:before="139" w:line="401" w:lineRule="exact"/>
              <w:jc w:val="center"/>
              <w:rPr>
                <w:rFonts w:ascii="宋体" w:hAnsi="宋体" w:eastAsia="宋体" w:cs="宋体"/>
                <w:spacing w:val="17"/>
                <w:sz w:val="23"/>
                <w:szCs w:val="23"/>
              </w:rPr>
            </w:pPr>
            <w:r>
              <w:rPr>
                <w:rFonts w:ascii="宋体" w:hAnsi="宋体" w:eastAsia="宋体" w:cs="宋体"/>
                <w:spacing w:val="17"/>
                <w:sz w:val="23"/>
                <w:szCs w:val="23"/>
              </w:rPr>
              <w:t>法实施条例》第四十六条</w:t>
            </w:r>
          </w:p>
        </w:tc>
      </w:tr>
      <w:tr>
        <w:trPr>
          <w:trHeight w:val="857" w:hRule="atLeast"/>
        </w:trPr>
        <w:tc>
          <w:tcPr>
            <w:tcW w:w="871" w:type="dxa"/>
            <w:vAlign w:val="top"/>
          </w:tcPr>
          <w:p>
            <w:pPr>
              <w:spacing w:line="315" w:lineRule="auto"/>
              <w:rPr>
                <w:rFonts w:ascii="Arial"/>
                <w:sz w:val="21"/>
              </w:rPr>
            </w:pPr>
          </w:p>
          <w:p>
            <w:pPr>
              <w:spacing w:before="66" w:line="194" w:lineRule="auto"/>
              <w:ind w:left="32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58</w:t>
            </w:r>
          </w:p>
        </w:tc>
        <w:tc>
          <w:tcPr>
            <w:tcW w:w="5532" w:type="dxa"/>
            <w:vAlign w:val="top"/>
          </w:tcPr>
          <w:p>
            <w:pPr>
              <w:spacing w:before="144" w:line="401" w:lineRule="exact"/>
              <w:ind w:firstLine="528" w:firstLineChars="200"/>
              <w:rPr>
                <w:rFonts w:ascii="宋体" w:hAnsi="宋体" w:eastAsia="宋体" w:cs="宋体"/>
                <w:sz w:val="23"/>
                <w:szCs w:val="23"/>
              </w:rPr>
            </w:pPr>
            <w:r>
              <w:rPr>
                <w:rFonts w:ascii="宋体" w:hAnsi="宋体" w:eastAsia="宋体" w:cs="宋体"/>
                <w:spacing w:val="17"/>
                <w:sz w:val="23"/>
                <w:szCs w:val="23"/>
              </w:rPr>
              <w:t>干涉招标代理机构在招标人委托的范围内开展招标代理业务。</w:t>
            </w:r>
          </w:p>
        </w:tc>
        <w:tc>
          <w:tcPr>
            <w:tcW w:w="3099" w:type="dxa"/>
            <w:vAlign w:val="center"/>
          </w:tcPr>
          <w:p>
            <w:pPr>
              <w:spacing w:before="139" w:line="401" w:lineRule="exact"/>
              <w:jc w:val="center"/>
              <w:rPr>
                <w:rFonts w:ascii="宋体" w:hAnsi="宋体" w:eastAsia="宋体" w:cs="宋体"/>
                <w:spacing w:val="17"/>
                <w:sz w:val="23"/>
                <w:szCs w:val="23"/>
              </w:rPr>
            </w:pPr>
            <w:r>
              <w:rPr>
                <w:rFonts w:ascii="宋体" w:hAnsi="宋体" w:eastAsia="宋体" w:cs="宋体"/>
                <w:spacing w:val="17"/>
                <w:sz w:val="23"/>
                <w:szCs w:val="23"/>
              </w:rPr>
              <w:t>《中华人民共和国招标投标</w:t>
            </w:r>
          </w:p>
          <w:p>
            <w:pPr>
              <w:spacing w:before="139" w:line="401" w:lineRule="exact"/>
              <w:jc w:val="center"/>
              <w:rPr>
                <w:rFonts w:ascii="宋体" w:hAnsi="宋体" w:eastAsia="宋体" w:cs="宋体"/>
                <w:spacing w:val="17"/>
                <w:sz w:val="23"/>
                <w:szCs w:val="23"/>
              </w:rPr>
            </w:pPr>
            <w:r>
              <w:rPr>
                <w:rFonts w:ascii="宋体" w:hAnsi="宋体" w:eastAsia="宋体" w:cs="宋体"/>
                <w:spacing w:val="17"/>
                <w:sz w:val="23"/>
                <w:szCs w:val="23"/>
              </w:rPr>
              <w:t>法实施条例》第十三条</w:t>
            </w:r>
          </w:p>
        </w:tc>
      </w:tr>
    </w:tbl>
    <w:p>
      <w:pPr>
        <w:spacing w:before="141" w:line="232" w:lineRule="auto"/>
        <w:ind w:left="438"/>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3"/>
          <w:sz w:val="20"/>
          <w:szCs w:val="20"/>
        </w:rPr>
        <w:t>：</w:t>
      </w:r>
      <w:r>
        <w:rPr>
          <w:rFonts w:ascii="宋体" w:hAnsi="宋体" w:eastAsia="宋体" w:cs="宋体"/>
          <w:spacing w:val="9"/>
          <w:sz w:val="20"/>
          <w:szCs w:val="20"/>
        </w:rPr>
        <w:t>1、负面清单所依据的法律、法规废止或修改后，负面清单相应内容将予以调整。</w:t>
      </w:r>
    </w:p>
    <w:p>
      <w:pPr>
        <w:spacing w:before="149" w:line="270" w:lineRule="exact"/>
        <w:ind w:left="860"/>
        <w:rPr>
          <w:rFonts w:ascii="宋体" w:hAnsi="宋体" w:eastAsia="宋体" w:cs="宋体"/>
          <w:sz w:val="20"/>
          <w:szCs w:val="20"/>
        </w:rPr>
      </w:pPr>
      <w:r>
        <w:rPr>
          <w:rFonts w:ascii="宋体" w:hAnsi="宋体" w:eastAsia="宋体" w:cs="宋体"/>
          <w:spacing w:val="9"/>
          <w:position w:val="1"/>
          <w:sz w:val="20"/>
          <w:szCs w:val="20"/>
        </w:rPr>
        <w:t>2、未列入本负面清单的，依然要遵守国家相关法律法规规定。</w:t>
      </w:r>
    </w:p>
    <w:sectPr>
      <w:footerReference r:id="rId13" w:type="default"/>
      <w:pgSz w:w="11906" w:h="16839"/>
      <w:pgMar w:top="1431" w:right="1242" w:bottom="1157" w:left="1156"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7" w:lineRule="auto"/>
      <w:ind w:left="4823"/>
      <w:rPr>
        <w:rFonts w:ascii="Calibri" w:hAnsi="Calibri" w:eastAsia="Calibri" w:cs="Calibri"/>
        <w:sz w:val="17"/>
        <w:szCs w:val="17"/>
      </w:rPr>
    </w:pPr>
    <w:r>
      <w:rPr>
        <w:rFonts w:ascii="Calibri" w:hAnsi="Calibri" w:eastAsia="Calibri" w:cs="Calibri"/>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8" w:lineRule="auto"/>
      <w:ind w:left="4777"/>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8" w:lineRule="auto"/>
      <w:ind w:left="4817"/>
      <w:rPr>
        <w:rFonts w:ascii="Calibri" w:hAnsi="Calibri" w:eastAsia="Calibri" w:cs="Calibri"/>
        <w:sz w:val="17"/>
        <w:szCs w:val="17"/>
      </w:rPr>
    </w:pPr>
    <w:r>
      <w:rPr>
        <w:rFonts w:ascii="Calibri" w:hAnsi="Calibri" w:eastAsia="Calibri" w:cs="Calibri"/>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8" w:lineRule="auto"/>
      <w:ind w:left="4816"/>
      <w:rPr>
        <w:rFonts w:ascii="Calibri" w:hAnsi="Calibri" w:eastAsia="Calibri" w:cs="Calibri"/>
        <w:sz w:val="17"/>
        <w:szCs w:val="17"/>
      </w:rPr>
    </w:pPr>
    <w:r>
      <w:rPr>
        <w:rFonts w:ascii="Calibri" w:hAnsi="Calibri" w:eastAsia="Calibri" w:cs="Calibri"/>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6" w:lineRule="auto"/>
      <w:ind w:left="4811"/>
      <w:rPr>
        <w:rFonts w:ascii="Calibri" w:hAnsi="Calibri" w:eastAsia="Calibri" w:cs="Calibri"/>
        <w:sz w:val="17"/>
        <w:szCs w:val="17"/>
      </w:rPr>
    </w:pPr>
    <w:r>
      <w:rPr>
        <w:rFonts w:ascii="Calibri" w:hAnsi="Calibri" w:eastAsia="Calibri" w:cs="Calibri"/>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6" w:lineRule="auto"/>
      <w:ind w:left="4816"/>
      <w:rPr>
        <w:rFonts w:ascii="Calibri" w:hAnsi="Calibri" w:eastAsia="Calibri" w:cs="Calibri"/>
        <w:sz w:val="17"/>
        <w:szCs w:val="17"/>
      </w:rPr>
    </w:pPr>
    <w:r>
      <w:rPr>
        <w:rFonts w:ascii="Calibri" w:hAnsi="Calibri" w:eastAsia="Calibri" w:cs="Calibri"/>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8" w:lineRule="auto"/>
      <w:ind w:left="4817"/>
      <w:rPr>
        <w:rFonts w:ascii="Calibri" w:hAnsi="Calibri" w:eastAsia="Calibri" w:cs="Calibri"/>
        <w:sz w:val="17"/>
        <w:szCs w:val="17"/>
      </w:rPr>
    </w:pPr>
    <w:r>
      <w:rPr>
        <w:rFonts w:ascii="Calibri" w:hAnsi="Calibri" w:eastAsia="Calibri" w:cs="Calibri"/>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6" w:lineRule="auto"/>
      <w:ind w:left="4816"/>
      <w:rPr>
        <w:rFonts w:ascii="Calibri" w:hAnsi="Calibri" w:eastAsia="Calibri" w:cs="Calibri"/>
        <w:sz w:val="17"/>
        <w:szCs w:val="17"/>
      </w:rPr>
    </w:pPr>
    <w:r>
      <w:rPr>
        <w:rFonts w:ascii="Calibri" w:hAnsi="Calibri" w:eastAsia="Calibri" w:cs="Calibri"/>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8" w:lineRule="auto"/>
      <w:ind w:left="4815"/>
      <w:rPr>
        <w:rFonts w:ascii="Calibri" w:hAnsi="Calibri" w:eastAsia="Calibri" w:cs="Calibri"/>
        <w:sz w:val="17"/>
        <w:szCs w:val="17"/>
      </w:rPr>
    </w:pPr>
    <w:r>
      <w:rPr>
        <w:rFonts w:ascii="Calibri" w:hAnsi="Calibri" w:eastAsia="Calibri" w:cs="Calibri"/>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88" w:lineRule="auto"/>
      <w:ind w:left="4815"/>
      <w:rPr>
        <w:rFonts w:ascii="Calibri" w:hAnsi="Calibri" w:eastAsia="Calibri" w:cs="Calibri"/>
        <w:sz w:val="17"/>
        <w:szCs w:val="17"/>
      </w:rPr>
    </w:pPr>
    <w:r>
      <w:rPr>
        <w:rFonts w:ascii="Calibri" w:hAnsi="Calibri" w:eastAsia="Calibri" w:cs="Calibri"/>
        <w:sz w:val="17"/>
        <w:szCs w:val="17"/>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theme" Target="theme/theme1.xml"/><Relationship Id="rId15"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5347</Words>
  <Characters>5504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2022-07-04T09:40:00Z</dcterms:created>
  <dc:creator>NTKO</dc:creator>
  <cp:lastModifiedBy>Administrator</cp:lastModifiedBy>
  <dcterms:modified xsi:type="dcterms:W3CDTF">2022-08-10T00:23:31Z</dcterms:modified>
  <dc:title>济源市工程建设项目交易主体行为负面清单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2022-08-09T16:24:00Z</vt:filetime>
  </property>
  <property fmtid="{D5CDD505-2E9C-101B-9397-08002B2CF9AE}" pid="4" name="KSOProductBuildVer">
    <vt:lpwstr>2052-9.1.0.4337</vt:lpwstr>
  </property>
  <property fmtid="{D5CDD505-2E9C-101B-9397-08002B2CF9AE}" pid="5" name="ICV">
    <vt:lpwstr>A8E207F7637749B88C3E65018C502DE5</vt:lpwstr>
  </property>
</Properties>
</file>